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Look w:val="04A0" w:firstRow="1" w:lastRow="0" w:firstColumn="1" w:lastColumn="0" w:noHBand="0" w:noVBand="1"/>
      </w:tblPr>
      <w:tblGrid>
        <w:gridCol w:w="8389"/>
      </w:tblGrid>
      <w:tr w:rsidR="006E229D" w:rsidRPr="006E229D" w:rsidTr="00D673CB">
        <w:tc>
          <w:tcPr>
            <w:tcW w:w="7672" w:type="dxa"/>
            <w:tcMar>
              <w:top w:w="216" w:type="dxa"/>
              <w:left w:w="115" w:type="dxa"/>
              <w:bottom w:w="216" w:type="dxa"/>
              <w:right w:w="115" w:type="dxa"/>
            </w:tcMar>
          </w:tcPr>
          <w:p w:rsidR="006E229D" w:rsidRPr="006E229D" w:rsidRDefault="006E229D" w:rsidP="006E229D">
            <w:pPr>
              <w:pStyle w:val="NoSpacing"/>
              <w:rPr>
                <w:rFonts w:ascii="Arial" w:eastAsia="Times New Roman" w:hAnsi="Arial"/>
                <w:sz w:val="24"/>
                <w:szCs w:val="24"/>
              </w:rPr>
            </w:pPr>
            <w:r w:rsidRPr="006E229D">
              <w:rPr>
                <w:rFonts w:ascii="Arial" w:hAnsi="Arial"/>
                <w:color w:val="003F77"/>
                <w:sz w:val="44"/>
                <w:szCs w:val="24"/>
              </w:rPr>
              <w:t xml:space="preserve">Housing Services Local Letting Plan  </w:t>
            </w:r>
          </w:p>
        </w:tc>
      </w:tr>
      <w:tr w:rsidR="006E229D" w:rsidRPr="006E229D" w:rsidTr="00D673CB">
        <w:tc>
          <w:tcPr>
            <w:tcW w:w="7672" w:type="dxa"/>
          </w:tcPr>
          <w:p w:rsidR="006E229D" w:rsidRPr="002C0B10" w:rsidRDefault="002857EA" w:rsidP="001408E3">
            <w:pPr>
              <w:pStyle w:val="NoSpacing"/>
              <w:rPr>
                <w:rFonts w:ascii="Arial" w:eastAsia="Times New Roman" w:hAnsi="Arial"/>
                <w:color w:val="4F81BD"/>
                <w:sz w:val="32"/>
                <w:szCs w:val="32"/>
              </w:rPr>
            </w:pPr>
            <w:r>
              <w:rPr>
                <w:rFonts w:ascii="Arial" w:eastAsia="Times New Roman" w:hAnsi="Arial"/>
                <w:color w:val="4F81BD"/>
                <w:sz w:val="32"/>
                <w:szCs w:val="32"/>
              </w:rPr>
              <w:t>Warminster Road, Bath</w:t>
            </w:r>
          </w:p>
        </w:tc>
      </w:tr>
      <w:tr w:rsidR="006E229D" w:rsidRPr="006E229D" w:rsidTr="00D673CB">
        <w:trPr>
          <w:trHeight w:val="1646"/>
        </w:trPr>
        <w:tc>
          <w:tcPr>
            <w:tcW w:w="7672" w:type="dxa"/>
            <w:tcMar>
              <w:top w:w="216" w:type="dxa"/>
              <w:left w:w="115" w:type="dxa"/>
              <w:bottom w:w="216" w:type="dxa"/>
              <w:right w:w="115" w:type="dxa"/>
            </w:tcMar>
          </w:tcPr>
          <w:p w:rsidR="006E229D" w:rsidRPr="006E229D" w:rsidRDefault="006E229D" w:rsidP="00640CAB">
            <w:pPr>
              <w:pStyle w:val="NoSpacing"/>
              <w:rPr>
                <w:rFonts w:ascii="Arial" w:eastAsia="Times New Roman" w:hAnsi="Arial"/>
                <w:sz w:val="24"/>
                <w:szCs w:val="24"/>
              </w:rPr>
            </w:pPr>
            <w:r w:rsidRPr="006E229D">
              <w:rPr>
                <w:rFonts w:ascii="Arial" w:hAnsi="Arial"/>
                <w:color w:val="6689CC"/>
                <w:sz w:val="28"/>
                <w:szCs w:val="24"/>
              </w:rPr>
              <w:t xml:space="preserve">A local letting </w:t>
            </w:r>
            <w:r w:rsidR="008C4950">
              <w:rPr>
                <w:rFonts w:ascii="Arial" w:hAnsi="Arial"/>
                <w:color w:val="6689CC"/>
                <w:sz w:val="28"/>
                <w:szCs w:val="24"/>
              </w:rPr>
              <w:t>plan</w:t>
            </w:r>
            <w:r w:rsidRPr="006E229D">
              <w:rPr>
                <w:rFonts w:ascii="Arial" w:hAnsi="Arial"/>
                <w:color w:val="6689CC"/>
                <w:sz w:val="28"/>
                <w:szCs w:val="24"/>
              </w:rPr>
              <w:t xml:space="preserve"> is an agreement between </w:t>
            </w:r>
            <w:r w:rsidR="00640CAB">
              <w:rPr>
                <w:rFonts w:ascii="Arial" w:hAnsi="Arial"/>
                <w:color w:val="6689CC"/>
                <w:sz w:val="28"/>
                <w:szCs w:val="24"/>
              </w:rPr>
              <w:t>Housing Services</w:t>
            </w:r>
            <w:r w:rsidRPr="006E229D">
              <w:rPr>
                <w:rFonts w:ascii="Arial" w:hAnsi="Arial"/>
                <w:color w:val="6689CC"/>
                <w:sz w:val="28"/>
                <w:szCs w:val="24"/>
              </w:rPr>
              <w:t xml:space="preserve"> and a </w:t>
            </w:r>
            <w:r w:rsidR="008C4950">
              <w:rPr>
                <w:rFonts w:ascii="Arial" w:hAnsi="Arial"/>
                <w:color w:val="6689CC"/>
                <w:sz w:val="28"/>
                <w:szCs w:val="24"/>
              </w:rPr>
              <w:t>housing</w:t>
            </w:r>
            <w:r w:rsidRPr="006E229D">
              <w:rPr>
                <w:rFonts w:ascii="Arial" w:hAnsi="Arial"/>
                <w:color w:val="6689CC"/>
                <w:sz w:val="28"/>
                <w:szCs w:val="24"/>
              </w:rPr>
              <w:t xml:space="preserve"> provider.  It decides how properties will be allocated in certain defined geographical areas.  Local lettings </w:t>
            </w:r>
            <w:r w:rsidR="008C4950">
              <w:rPr>
                <w:rFonts w:ascii="Arial" w:hAnsi="Arial"/>
                <w:color w:val="6689CC"/>
                <w:sz w:val="28"/>
                <w:szCs w:val="24"/>
              </w:rPr>
              <w:t>plans</w:t>
            </w:r>
            <w:r w:rsidRPr="006E229D">
              <w:rPr>
                <w:rFonts w:ascii="Arial" w:hAnsi="Arial"/>
                <w:color w:val="6689CC"/>
                <w:sz w:val="28"/>
                <w:szCs w:val="24"/>
              </w:rPr>
              <w:t xml:space="preserve"> will only be used in exceptional circumstances, to meet specific local issues within an area.  </w:t>
            </w:r>
          </w:p>
        </w:tc>
      </w:tr>
    </w:tbl>
    <w:p w:rsidR="006E229D" w:rsidRPr="006E229D" w:rsidRDefault="006E229D">
      <w:pPr>
        <w:rPr>
          <w:rFonts w:cs="Arial"/>
        </w:rPr>
      </w:pPr>
    </w:p>
    <w:p w:rsidR="006E229D" w:rsidRPr="006E229D" w:rsidRDefault="006E229D">
      <w:pPr>
        <w:rPr>
          <w:rFonts w:cs="Arial"/>
        </w:rPr>
      </w:pPr>
    </w:p>
    <w:p w:rsidR="006E229D" w:rsidRPr="006E229D" w:rsidRDefault="006E229D">
      <w:pPr>
        <w:rPr>
          <w:rFonts w:cs="Arial"/>
        </w:rPr>
      </w:pPr>
    </w:p>
    <w:tbl>
      <w:tblPr>
        <w:tblpPr w:leftFromText="187" w:rightFromText="187" w:vertAnchor="page" w:horzAnchor="margin" w:tblpXSpec="center" w:tblpY="7772"/>
        <w:tblW w:w="4000" w:type="pct"/>
        <w:tblLook w:val="04A0" w:firstRow="1" w:lastRow="0" w:firstColumn="1" w:lastColumn="0" w:noHBand="0" w:noVBand="1"/>
      </w:tblPr>
      <w:tblGrid>
        <w:gridCol w:w="8389"/>
      </w:tblGrid>
      <w:tr w:rsidR="006E229D" w:rsidRPr="006E229D" w:rsidTr="00D673CB">
        <w:tc>
          <w:tcPr>
            <w:tcW w:w="8389" w:type="dxa"/>
            <w:tcMar>
              <w:top w:w="216" w:type="dxa"/>
              <w:left w:w="115" w:type="dxa"/>
              <w:bottom w:w="216" w:type="dxa"/>
              <w:right w:w="115" w:type="dxa"/>
            </w:tcMar>
          </w:tcPr>
          <w:p w:rsidR="006E229D" w:rsidRPr="006E229D" w:rsidRDefault="00CD5592" w:rsidP="002857EA">
            <w:pPr>
              <w:pStyle w:val="NoSpacing"/>
              <w:rPr>
                <w:rFonts w:ascii="Arial" w:hAnsi="Arial"/>
                <w:color w:val="4F81BD"/>
                <w:sz w:val="24"/>
                <w:szCs w:val="24"/>
              </w:rPr>
            </w:pPr>
            <w:r>
              <w:rPr>
                <w:rFonts w:ascii="Arial" w:hAnsi="Arial"/>
                <w:color w:val="4F81BD"/>
                <w:sz w:val="28"/>
                <w:szCs w:val="24"/>
              </w:rPr>
              <w:t xml:space="preserve">Published </w:t>
            </w:r>
            <w:r w:rsidR="002857EA">
              <w:rPr>
                <w:rFonts w:ascii="Arial" w:hAnsi="Arial"/>
                <w:color w:val="4F81BD"/>
                <w:sz w:val="28"/>
                <w:szCs w:val="24"/>
              </w:rPr>
              <w:t>December</w:t>
            </w:r>
            <w:r w:rsidR="001408E3">
              <w:rPr>
                <w:rFonts w:ascii="Arial" w:hAnsi="Arial"/>
                <w:color w:val="4F81BD"/>
                <w:sz w:val="28"/>
                <w:szCs w:val="24"/>
              </w:rPr>
              <w:t xml:space="preserve"> 2017</w:t>
            </w:r>
          </w:p>
        </w:tc>
      </w:tr>
    </w:tbl>
    <w:p w:rsidR="006E229D" w:rsidRPr="006E229D" w:rsidRDefault="006E229D">
      <w:pPr>
        <w:rPr>
          <w:rFonts w:cs="Arial"/>
          <w:bCs/>
          <w:color w:val="6689CC"/>
          <w:lang w:val="en-US" w:eastAsia="ja-JP"/>
        </w:rPr>
      </w:pPr>
      <w:r w:rsidRPr="006E229D">
        <w:rPr>
          <w:rFonts w:cs="Arial"/>
          <w:bCs/>
          <w:color w:val="6689CC"/>
          <w:lang w:val="en-US" w:eastAsia="ja-JP"/>
        </w:rPr>
        <w:t xml:space="preserve"> </w:t>
      </w:r>
      <w:r w:rsidRPr="006E229D">
        <w:rPr>
          <w:rFonts w:cs="Arial"/>
          <w:bCs/>
          <w:color w:val="6689CC"/>
          <w:lang w:val="en-US" w:eastAsia="ja-JP"/>
        </w:rPr>
        <w:br w:type="page"/>
      </w:r>
    </w:p>
    <w:p w:rsidR="006E229D" w:rsidRPr="006E229D" w:rsidRDefault="006E229D">
      <w:pPr>
        <w:rPr>
          <w:rFonts w:cs="Arial"/>
        </w:rPr>
      </w:pPr>
    </w:p>
    <w:p w:rsidR="00666226" w:rsidRPr="006E229D" w:rsidRDefault="00666226">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p w:rsidR="00B52B88" w:rsidRPr="006E229D" w:rsidRDefault="00B52B88">
      <w:pPr>
        <w:rPr>
          <w:rFonts w:cs="Arial"/>
        </w:rPr>
      </w:pPr>
    </w:p>
    <w:tbl>
      <w:tblPr>
        <w:tblpPr w:leftFromText="187" w:rightFromText="187" w:vertAnchor="page" w:horzAnchor="margin" w:tblpX="250" w:tblpY="8344"/>
        <w:tblW w:w="4829" w:type="pct"/>
        <w:tblLook w:val="04A0" w:firstRow="1" w:lastRow="0" w:firstColumn="1" w:lastColumn="0" w:noHBand="0" w:noVBand="1"/>
      </w:tblPr>
      <w:tblGrid>
        <w:gridCol w:w="4994"/>
        <w:gridCol w:w="5120"/>
      </w:tblGrid>
      <w:tr w:rsidR="00411886" w:rsidRPr="006E229D" w:rsidTr="00B52B88">
        <w:tc>
          <w:tcPr>
            <w:tcW w:w="2469" w:type="pct"/>
          </w:tcPr>
          <w:p w:rsidR="00411886" w:rsidRPr="006E229D" w:rsidRDefault="00411886" w:rsidP="00B52B88">
            <w:pPr>
              <w:pStyle w:val="NoSpacing"/>
              <w:rPr>
                <w:rFonts w:ascii="Arial" w:hAnsi="Arial"/>
                <w:color w:val="003F77"/>
                <w:sz w:val="24"/>
                <w:szCs w:val="24"/>
              </w:rPr>
            </w:pPr>
          </w:p>
          <w:p w:rsidR="00411886" w:rsidRPr="002652DE" w:rsidRDefault="00411886" w:rsidP="00B52B88">
            <w:pPr>
              <w:pStyle w:val="NoSpacing"/>
              <w:rPr>
                <w:rFonts w:ascii="Arial" w:hAnsi="Arial"/>
                <w:bCs/>
                <w:color w:val="003F77"/>
                <w:sz w:val="24"/>
                <w:szCs w:val="24"/>
              </w:rPr>
            </w:pPr>
            <w:r w:rsidRPr="006E229D">
              <w:rPr>
                <w:rFonts w:ascii="Arial" w:hAnsi="Arial"/>
                <w:bCs/>
                <w:color w:val="003F77"/>
                <w:sz w:val="24"/>
                <w:szCs w:val="24"/>
              </w:rPr>
              <w:t xml:space="preserve">Bath </w:t>
            </w:r>
            <w:r w:rsidRPr="002652DE">
              <w:rPr>
                <w:rFonts w:ascii="Arial" w:hAnsi="Arial"/>
                <w:bCs/>
                <w:color w:val="003F77"/>
                <w:sz w:val="24"/>
                <w:szCs w:val="24"/>
              </w:rPr>
              <w:t>and North East Somerset Council</w:t>
            </w:r>
          </w:p>
          <w:p w:rsidR="00F321BD" w:rsidRDefault="00411886" w:rsidP="00B52B88">
            <w:pPr>
              <w:pStyle w:val="NoSpacing"/>
              <w:rPr>
                <w:rFonts w:ascii="Arial" w:hAnsi="Arial"/>
                <w:bCs/>
                <w:color w:val="003F77"/>
                <w:sz w:val="24"/>
                <w:szCs w:val="24"/>
              </w:rPr>
            </w:pPr>
            <w:r w:rsidRPr="002652DE">
              <w:rPr>
                <w:rFonts w:ascii="Arial" w:hAnsi="Arial"/>
                <w:bCs/>
                <w:color w:val="003F77"/>
                <w:sz w:val="24"/>
                <w:szCs w:val="24"/>
              </w:rPr>
              <w:t>Housing Services, PO Box 3343</w:t>
            </w:r>
          </w:p>
          <w:p w:rsidR="00411886" w:rsidRPr="002652DE" w:rsidRDefault="00411886" w:rsidP="00B52B88">
            <w:pPr>
              <w:pStyle w:val="NoSpacing"/>
              <w:rPr>
                <w:rFonts w:ascii="Arial" w:hAnsi="Arial"/>
                <w:bCs/>
                <w:color w:val="003F77"/>
                <w:sz w:val="24"/>
                <w:szCs w:val="24"/>
              </w:rPr>
            </w:pPr>
            <w:r w:rsidRPr="002652DE">
              <w:rPr>
                <w:rFonts w:ascii="Arial" w:hAnsi="Arial"/>
                <w:bCs/>
                <w:color w:val="003F77"/>
                <w:sz w:val="24"/>
                <w:szCs w:val="24"/>
              </w:rPr>
              <w:t>Bath, BA1 2ZH</w:t>
            </w:r>
          </w:p>
          <w:p w:rsidR="00411886" w:rsidRPr="006E229D" w:rsidRDefault="00411886" w:rsidP="00B52B88">
            <w:pPr>
              <w:pStyle w:val="NoSpacing"/>
              <w:rPr>
                <w:rFonts w:ascii="Arial" w:hAnsi="Arial"/>
                <w:bCs/>
                <w:color w:val="003F77"/>
                <w:sz w:val="24"/>
                <w:szCs w:val="24"/>
              </w:rPr>
            </w:pPr>
          </w:p>
          <w:p w:rsidR="00411886" w:rsidRPr="006E229D" w:rsidRDefault="00411886" w:rsidP="00B52B88">
            <w:pPr>
              <w:pStyle w:val="NoSpacing"/>
              <w:rPr>
                <w:rFonts w:ascii="Arial" w:hAnsi="Arial"/>
                <w:bCs/>
                <w:color w:val="003F77"/>
                <w:sz w:val="24"/>
                <w:szCs w:val="24"/>
              </w:rPr>
            </w:pPr>
            <w:r w:rsidRPr="006E229D">
              <w:rPr>
                <w:rFonts w:ascii="Arial" w:hAnsi="Arial"/>
                <w:bCs/>
                <w:color w:val="003F77"/>
                <w:sz w:val="24"/>
                <w:szCs w:val="24"/>
              </w:rPr>
              <w:t>Telephone: 01225 396118</w:t>
            </w:r>
          </w:p>
          <w:p w:rsidR="00411886" w:rsidRPr="006E229D" w:rsidRDefault="00411886" w:rsidP="00B52B88">
            <w:pPr>
              <w:pStyle w:val="NoSpacing"/>
              <w:rPr>
                <w:rFonts w:ascii="Arial" w:hAnsi="Arial"/>
                <w:bCs/>
                <w:color w:val="003F77"/>
                <w:sz w:val="24"/>
                <w:szCs w:val="24"/>
              </w:rPr>
            </w:pPr>
            <w:r w:rsidRPr="006E229D">
              <w:rPr>
                <w:rFonts w:ascii="Arial" w:hAnsi="Arial"/>
                <w:bCs/>
                <w:color w:val="003F77"/>
                <w:sz w:val="24"/>
                <w:szCs w:val="24"/>
              </w:rPr>
              <w:t>Fax: 01225 477839</w:t>
            </w:r>
          </w:p>
          <w:p w:rsidR="00411886" w:rsidRPr="006E229D" w:rsidRDefault="00411886" w:rsidP="00B52B88">
            <w:pPr>
              <w:overflowPunct w:val="0"/>
              <w:autoSpaceDE w:val="0"/>
              <w:autoSpaceDN w:val="0"/>
              <w:adjustRightInd w:val="0"/>
              <w:jc w:val="both"/>
              <w:textAlignment w:val="baseline"/>
              <w:rPr>
                <w:rFonts w:cs="Arial"/>
                <w:bCs/>
                <w:color w:val="003F77"/>
              </w:rPr>
            </w:pPr>
            <w:proofErr w:type="spellStart"/>
            <w:r w:rsidRPr="006E229D">
              <w:rPr>
                <w:rFonts w:cs="Arial"/>
                <w:bCs/>
                <w:color w:val="003F77"/>
              </w:rPr>
              <w:t>Minicom</w:t>
            </w:r>
            <w:proofErr w:type="spellEnd"/>
            <w:r w:rsidRPr="006E229D">
              <w:rPr>
                <w:rFonts w:cs="Arial"/>
                <w:bCs/>
                <w:color w:val="003F77"/>
              </w:rPr>
              <w:t>: 01225 477815</w:t>
            </w:r>
          </w:p>
          <w:p w:rsidR="00411886" w:rsidRPr="006E229D" w:rsidRDefault="00411886" w:rsidP="00B52B88">
            <w:pPr>
              <w:overflowPunct w:val="0"/>
              <w:autoSpaceDE w:val="0"/>
              <w:autoSpaceDN w:val="0"/>
              <w:adjustRightInd w:val="0"/>
              <w:jc w:val="both"/>
              <w:textAlignment w:val="baseline"/>
              <w:rPr>
                <w:rFonts w:cs="Arial"/>
                <w:bCs/>
                <w:color w:val="003F77"/>
              </w:rPr>
            </w:pPr>
          </w:p>
          <w:p w:rsidR="00411886" w:rsidRPr="006E229D" w:rsidRDefault="007715E5" w:rsidP="00B52B88">
            <w:pPr>
              <w:pStyle w:val="NoSpacing"/>
              <w:rPr>
                <w:rStyle w:val="Hyperlink"/>
                <w:rFonts w:ascii="Arial" w:hAnsi="Arial"/>
                <w:bCs/>
                <w:color w:val="003F77"/>
                <w:sz w:val="24"/>
                <w:szCs w:val="24"/>
              </w:rPr>
            </w:pPr>
            <w:hyperlink r:id="rId9" w:history="1">
              <w:r w:rsidR="00411886" w:rsidRPr="006E229D">
                <w:rPr>
                  <w:rStyle w:val="Hyperlink"/>
                  <w:rFonts w:ascii="Arial" w:hAnsi="Arial"/>
                  <w:bCs/>
                  <w:color w:val="003F77"/>
                  <w:sz w:val="24"/>
                  <w:szCs w:val="24"/>
                </w:rPr>
                <w:t>Homesearch@Bathnes.gov.uk</w:t>
              </w:r>
            </w:hyperlink>
          </w:p>
          <w:p w:rsidR="00411886" w:rsidRPr="006E229D" w:rsidRDefault="007715E5" w:rsidP="00B52B88">
            <w:pPr>
              <w:pStyle w:val="NoSpacing"/>
              <w:rPr>
                <w:rStyle w:val="Hyperlink"/>
                <w:rFonts w:ascii="Arial" w:hAnsi="Arial"/>
                <w:bCs/>
                <w:color w:val="003F77"/>
                <w:sz w:val="24"/>
                <w:szCs w:val="24"/>
              </w:rPr>
            </w:pPr>
            <w:hyperlink r:id="rId10" w:history="1">
              <w:r w:rsidR="00411886" w:rsidRPr="006E229D">
                <w:rPr>
                  <w:rStyle w:val="Hyperlink"/>
                  <w:rFonts w:ascii="Arial" w:hAnsi="Arial"/>
                  <w:bCs/>
                  <w:color w:val="003F77"/>
                  <w:sz w:val="24"/>
                  <w:szCs w:val="24"/>
                </w:rPr>
                <w:t>www.Homesearchbathnes.org.uk</w:t>
              </w:r>
            </w:hyperlink>
          </w:p>
          <w:p w:rsidR="00411886" w:rsidRPr="006E229D" w:rsidRDefault="00411886" w:rsidP="00B52B88">
            <w:pPr>
              <w:pStyle w:val="NoSpacing"/>
              <w:rPr>
                <w:rStyle w:val="Hyperlink"/>
                <w:rFonts w:ascii="Arial" w:hAnsi="Arial"/>
                <w:bCs/>
                <w:color w:val="003F77"/>
                <w:sz w:val="24"/>
                <w:szCs w:val="24"/>
              </w:rPr>
            </w:pPr>
          </w:p>
          <w:p w:rsidR="00411886" w:rsidRPr="006E229D" w:rsidRDefault="00411886" w:rsidP="00B52B88">
            <w:pPr>
              <w:pStyle w:val="NoSpacing"/>
              <w:rPr>
                <w:rFonts w:ascii="Arial" w:hAnsi="Arial"/>
                <w:color w:val="003F77"/>
                <w:sz w:val="24"/>
                <w:szCs w:val="24"/>
              </w:rPr>
            </w:pPr>
          </w:p>
          <w:p w:rsidR="00411886" w:rsidRPr="006E229D" w:rsidRDefault="00694701" w:rsidP="00B52B88">
            <w:pPr>
              <w:pStyle w:val="NoSpacing"/>
              <w:rPr>
                <w:rFonts w:ascii="Arial" w:hAnsi="Arial"/>
                <w:color w:val="003F77"/>
                <w:sz w:val="24"/>
                <w:szCs w:val="24"/>
              </w:rPr>
            </w:pPr>
            <w:r>
              <w:rPr>
                <w:rFonts w:ascii="Arial" w:hAnsi="Arial"/>
                <w:noProof/>
                <w:color w:val="003F77"/>
                <w:sz w:val="24"/>
                <w:szCs w:val="24"/>
                <w:lang w:val="en-GB" w:eastAsia="en-GB"/>
              </w:rPr>
              <w:drawing>
                <wp:inline distT="0" distB="0" distL="0" distR="0">
                  <wp:extent cx="2943225" cy="790575"/>
                  <wp:effectExtent l="19050" t="0" r="9525" b="0"/>
                  <wp:docPr id="1" name="Picture 1" descr="Cap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3)"/>
                          <pic:cNvPicPr>
                            <a:picLocks noChangeAspect="1" noChangeArrowheads="1"/>
                          </pic:cNvPicPr>
                        </pic:nvPicPr>
                        <pic:blipFill>
                          <a:blip r:embed="rId11" cstate="print"/>
                          <a:srcRect/>
                          <a:stretch>
                            <a:fillRect/>
                          </a:stretch>
                        </pic:blipFill>
                        <pic:spPr bwMode="auto">
                          <a:xfrm>
                            <a:off x="0" y="0"/>
                            <a:ext cx="2943225" cy="790575"/>
                          </a:xfrm>
                          <a:prstGeom prst="rect">
                            <a:avLst/>
                          </a:prstGeom>
                          <a:noFill/>
                          <a:ln w="9525">
                            <a:noFill/>
                            <a:miter lim="800000"/>
                            <a:headEnd/>
                            <a:tailEnd/>
                          </a:ln>
                        </pic:spPr>
                      </pic:pic>
                    </a:graphicData>
                  </a:graphic>
                </wp:inline>
              </w:drawing>
            </w:r>
          </w:p>
          <w:p w:rsidR="00411886" w:rsidRPr="006E229D" w:rsidRDefault="00411886" w:rsidP="00B52B88">
            <w:pPr>
              <w:pStyle w:val="NoSpacing"/>
              <w:rPr>
                <w:rFonts w:ascii="Arial" w:hAnsi="Arial"/>
                <w:color w:val="003F77"/>
                <w:sz w:val="24"/>
                <w:szCs w:val="24"/>
              </w:rPr>
            </w:pPr>
          </w:p>
        </w:tc>
        <w:tc>
          <w:tcPr>
            <w:tcW w:w="2531" w:type="pct"/>
          </w:tcPr>
          <w:p w:rsidR="00411886" w:rsidRPr="006E229D" w:rsidRDefault="00411886" w:rsidP="00B52B88">
            <w:pPr>
              <w:pStyle w:val="NoSpacing"/>
              <w:rPr>
                <w:rFonts w:ascii="Arial" w:hAnsi="Arial"/>
                <w:color w:val="003F77"/>
                <w:sz w:val="24"/>
                <w:szCs w:val="24"/>
              </w:rPr>
            </w:pP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 xml:space="preserve">Selwood Housing, </w:t>
            </w:r>
          </w:p>
          <w:p w:rsidR="000F2EBA" w:rsidRDefault="000F2EBA" w:rsidP="00B52B88">
            <w:pPr>
              <w:pStyle w:val="NoSpacing"/>
              <w:rPr>
                <w:rFonts w:ascii="Arial" w:hAnsi="Arial"/>
                <w:color w:val="003F77"/>
                <w:sz w:val="24"/>
                <w:szCs w:val="24"/>
              </w:rPr>
            </w:pPr>
            <w:proofErr w:type="spellStart"/>
            <w:r w:rsidRPr="000F2EBA">
              <w:rPr>
                <w:rFonts w:ascii="Arial" w:hAnsi="Arial"/>
                <w:color w:val="003F77"/>
                <w:sz w:val="24"/>
                <w:szCs w:val="24"/>
              </w:rPr>
              <w:t>Bryer</w:t>
            </w:r>
            <w:proofErr w:type="spellEnd"/>
            <w:r w:rsidRPr="000F2EBA">
              <w:rPr>
                <w:rFonts w:ascii="Arial" w:hAnsi="Arial"/>
                <w:color w:val="003F77"/>
                <w:sz w:val="24"/>
                <w:szCs w:val="24"/>
              </w:rPr>
              <w:t xml:space="preserve"> Ash Business Park, </w:t>
            </w: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 xml:space="preserve">Bradford Road, </w:t>
            </w: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 xml:space="preserve">Trowbridge, </w:t>
            </w: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 xml:space="preserve">Wiltshire, </w:t>
            </w: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 xml:space="preserve">BA14 8RT  </w:t>
            </w:r>
          </w:p>
          <w:p w:rsidR="000F2EBA" w:rsidRDefault="000F2EBA" w:rsidP="00B52B88">
            <w:pPr>
              <w:pStyle w:val="NoSpacing"/>
              <w:rPr>
                <w:rFonts w:ascii="Arial" w:hAnsi="Arial"/>
                <w:color w:val="003F77"/>
                <w:sz w:val="24"/>
                <w:szCs w:val="24"/>
              </w:rPr>
            </w:pPr>
            <w:r w:rsidRPr="000F2EBA">
              <w:rPr>
                <w:rFonts w:ascii="Arial" w:hAnsi="Arial"/>
                <w:color w:val="003F77"/>
                <w:sz w:val="24"/>
                <w:szCs w:val="24"/>
              </w:rPr>
              <w:t>Registered charity number 1141124</w:t>
            </w:r>
          </w:p>
          <w:p w:rsidR="000F2EBA" w:rsidRDefault="000F2EBA" w:rsidP="00B52B88">
            <w:pPr>
              <w:pStyle w:val="NoSpacing"/>
              <w:rPr>
                <w:rFonts w:ascii="Arial" w:hAnsi="Arial"/>
                <w:color w:val="003F77"/>
                <w:sz w:val="24"/>
                <w:szCs w:val="24"/>
              </w:rPr>
            </w:pPr>
          </w:p>
          <w:p w:rsidR="000F2EBA" w:rsidRDefault="000F2EBA" w:rsidP="00B52B88">
            <w:pPr>
              <w:pStyle w:val="NoSpacing"/>
              <w:rPr>
                <w:rFonts w:ascii="Arial" w:hAnsi="Arial"/>
                <w:color w:val="003F77"/>
                <w:sz w:val="24"/>
                <w:szCs w:val="24"/>
              </w:rPr>
            </w:pPr>
            <w:r w:rsidRPr="000F2EBA">
              <w:rPr>
                <w:rFonts w:ascii="Arial" w:hAnsi="Arial"/>
                <w:color w:val="003F77"/>
                <w:sz w:val="24"/>
                <w:szCs w:val="24"/>
                <w:lang w:val="en-GB"/>
              </w:rPr>
              <w:t>Tel: +44(0)1225 715715</w:t>
            </w:r>
            <w:r w:rsidRPr="000F2EBA">
              <w:rPr>
                <w:rFonts w:ascii="Arial" w:hAnsi="Arial"/>
                <w:color w:val="003F77"/>
                <w:sz w:val="24"/>
                <w:szCs w:val="24"/>
                <w:lang w:val="en-GB"/>
              </w:rPr>
              <w:br/>
              <w:t xml:space="preserve">Email: </w:t>
            </w:r>
            <w:hyperlink r:id="rId12" w:history="1">
              <w:r w:rsidRPr="000F2EBA">
                <w:rPr>
                  <w:rStyle w:val="Hyperlink"/>
                  <w:rFonts w:ascii="Arial" w:hAnsi="Arial"/>
                  <w:sz w:val="24"/>
                  <w:szCs w:val="24"/>
                  <w:lang w:val="en-GB"/>
                </w:rPr>
                <w:t>info@selwoodhousing.com</w:t>
              </w:r>
            </w:hyperlink>
            <w:r w:rsidRPr="000F2EBA">
              <w:rPr>
                <w:rFonts w:ascii="Arial" w:hAnsi="Arial"/>
                <w:color w:val="003F77"/>
                <w:sz w:val="24"/>
                <w:szCs w:val="24"/>
                <w:lang w:val="en-GB"/>
              </w:rPr>
              <w:br/>
              <w:t xml:space="preserve">Website: </w:t>
            </w:r>
            <w:hyperlink r:id="rId13" w:history="1">
              <w:r w:rsidRPr="000F2EBA">
                <w:rPr>
                  <w:rStyle w:val="Hyperlink"/>
                  <w:rFonts w:ascii="Arial" w:hAnsi="Arial"/>
                  <w:sz w:val="24"/>
                  <w:szCs w:val="24"/>
                  <w:lang w:val="en-GB"/>
                </w:rPr>
                <w:t>www.selwoodhousing.com</w:t>
              </w:r>
            </w:hyperlink>
          </w:p>
          <w:p w:rsidR="000F2EBA" w:rsidRPr="006E229D" w:rsidRDefault="000F2EBA" w:rsidP="00B52B88">
            <w:pPr>
              <w:pStyle w:val="NoSpacing"/>
              <w:rPr>
                <w:rFonts w:ascii="Arial" w:hAnsi="Arial"/>
                <w:color w:val="003F77"/>
                <w:sz w:val="24"/>
                <w:szCs w:val="24"/>
              </w:rPr>
            </w:pPr>
          </w:p>
        </w:tc>
      </w:tr>
      <w:tr w:rsidR="00411886" w:rsidRPr="006E229D" w:rsidTr="00B52B88">
        <w:tc>
          <w:tcPr>
            <w:tcW w:w="5000" w:type="pct"/>
            <w:gridSpan w:val="2"/>
          </w:tcPr>
          <w:p w:rsidR="00411886" w:rsidRPr="006E229D" w:rsidRDefault="00411886" w:rsidP="00B52B88">
            <w:pPr>
              <w:pStyle w:val="NoSpacing"/>
              <w:rPr>
                <w:rFonts w:ascii="Arial" w:hAnsi="Arial"/>
                <w:color w:val="808080"/>
                <w:sz w:val="24"/>
                <w:szCs w:val="24"/>
              </w:rPr>
            </w:pPr>
          </w:p>
          <w:p w:rsidR="00411886" w:rsidRPr="006E229D" w:rsidRDefault="00411886" w:rsidP="00B52B88">
            <w:pPr>
              <w:pStyle w:val="NoSpacing"/>
              <w:rPr>
                <w:rFonts w:ascii="Arial" w:hAnsi="Arial"/>
                <w:color w:val="003F77"/>
                <w:sz w:val="24"/>
                <w:szCs w:val="24"/>
              </w:rPr>
            </w:pPr>
            <w:r w:rsidRPr="006E229D">
              <w:rPr>
                <w:rFonts w:ascii="Arial" w:hAnsi="Arial"/>
                <w:i/>
                <w:color w:val="003F77"/>
                <w:sz w:val="24"/>
                <w:szCs w:val="24"/>
              </w:rPr>
              <w:t>This document can be made available in a range of languages, large print and Braille.</w:t>
            </w:r>
          </w:p>
          <w:p w:rsidR="00411886" w:rsidRPr="006E229D" w:rsidRDefault="00411886" w:rsidP="00B52B88">
            <w:pPr>
              <w:pStyle w:val="NoSpacing"/>
              <w:rPr>
                <w:rFonts w:ascii="Arial" w:hAnsi="Arial"/>
                <w:color w:val="808080"/>
                <w:sz w:val="24"/>
                <w:szCs w:val="24"/>
              </w:rPr>
            </w:pPr>
          </w:p>
        </w:tc>
      </w:tr>
    </w:tbl>
    <w:p w:rsidR="00206257" w:rsidRPr="006E229D" w:rsidRDefault="00206257" w:rsidP="00411886">
      <w:pPr>
        <w:pStyle w:val="Heading1"/>
        <w:rPr>
          <w:rFonts w:cs="Arial"/>
          <w:sz w:val="24"/>
          <w:szCs w:val="24"/>
        </w:rPr>
      </w:pPr>
    </w:p>
    <w:p w:rsidR="00206257" w:rsidRPr="006E229D" w:rsidRDefault="00206257" w:rsidP="00206257">
      <w:pPr>
        <w:rPr>
          <w:rFonts w:cs="Arial"/>
        </w:rPr>
      </w:pPr>
    </w:p>
    <w:p w:rsidR="00206257" w:rsidRPr="006E229D" w:rsidRDefault="00206257" w:rsidP="00206257">
      <w:pPr>
        <w:rPr>
          <w:rFonts w:cs="Arial"/>
        </w:rPr>
      </w:pPr>
    </w:p>
    <w:p w:rsidR="00206257" w:rsidRPr="006E229D" w:rsidRDefault="00206257" w:rsidP="00206257">
      <w:pPr>
        <w:tabs>
          <w:tab w:val="left" w:pos="2954"/>
        </w:tabs>
        <w:rPr>
          <w:rFonts w:cs="Arial"/>
        </w:rPr>
      </w:pPr>
      <w:r w:rsidRPr="006E229D">
        <w:rPr>
          <w:rFonts w:cs="Arial"/>
        </w:rPr>
        <w:tab/>
      </w:r>
    </w:p>
    <w:p w:rsidR="006E229D" w:rsidRDefault="006E229D" w:rsidP="00411886">
      <w:pPr>
        <w:pStyle w:val="Heading1"/>
        <w:rPr>
          <w:rFonts w:cs="Arial"/>
          <w:sz w:val="24"/>
          <w:szCs w:val="24"/>
        </w:rPr>
      </w:pPr>
    </w:p>
    <w:p w:rsidR="00411886" w:rsidRDefault="00666226" w:rsidP="0068141A">
      <w:pPr>
        <w:pStyle w:val="Heading1"/>
      </w:pPr>
      <w:r w:rsidRPr="006E229D">
        <w:br w:type="page"/>
      </w:r>
      <w:r w:rsidR="00411886" w:rsidRPr="0068141A">
        <w:lastRenderedPageBreak/>
        <w:t>Neighbourhood profile, supporting information</w:t>
      </w:r>
      <w:r w:rsidR="00397137">
        <w:t xml:space="preserve"> and views of the local community</w:t>
      </w:r>
    </w:p>
    <w:p w:rsidR="00996F7B" w:rsidRDefault="00996F7B" w:rsidP="00996F7B"/>
    <w:p w:rsidR="00996F7B" w:rsidRPr="001C1CC9" w:rsidRDefault="00996F7B" w:rsidP="00996F7B">
      <w:pPr>
        <w:rPr>
          <w:iCs/>
        </w:rPr>
      </w:pPr>
      <w:r w:rsidRPr="001C1CC9">
        <w:t>Warminster Road, Bath is a new build site</w:t>
      </w:r>
      <w:r w:rsidR="007715E5">
        <w:t xml:space="preserve">, consisting of 75 properties. These comprise of </w:t>
      </w:r>
      <w:r w:rsidRPr="001C1CC9">
        <w:rPr>
          <w:iCs/>
        </w:rPr>
        <w:t>65</w:t>
      </w:r>
      <w:r w:rsidR="007715E5">
        <w:rPr>
          <w:iCs/>
        </w:rPr>
        <w:t xml:space="preserve"> for rent and </w:t>
      </w:r>
      <w:proofErr w:type="gramStart"/>
      <w:r w:rsidRPr="001C1CC9">
        <w:rPr>
          <w:iCs/>
        </w:rPr>
        <w:t>10 shared ownership</w:t>
      </w:r>
      <w:proofErr w:type="gramEnd"/>
      <w:r w:rsidRPr="001C1CC9">
        <w:rPr>
          <w:iCs/>
        </w:rPr>
        <w:t>. The property types are as follow</w:t>
      </w:r>
      <w:r w:rsidR="007715E5">
        <w:rPr>
          <w:iCs/>
        </w:rPr>
        <w:t>s</w:t>
      </w:r>
      <w:r w:rsidRPr="001C1CC9">
        <w:rPr>
          <w:iCs/>
        </w:rPr>
        <w:t>:</w:t>
      </w:r>
    </w:p>
    <w:p w:rsidR="00996F7B" w:rsidRPr="001C1CC9" w:rsidRDefault="00996F7B" w:rsidP="00996F7B">
      <w:pPr>
        <w:rPr>
          <w:iCs/>
        </w:rPr>
      </w:pPr>
    </w:p>
    <w:p w:rsidR="00996F7B" w:rsidRPr="001C1CC9" w:rsidRDefault="00996F7B" w:rsidP="00996F7B">
      <w:pPr>
        <w:rPr>
          <w:iCs/>
        </w:rPr>
      </w:pPr>
      <w:r w:rsidRPr="001C1CC9">
        <w:rPr>
          <w:iCs/>
        </w:rPr>
        <w:t>31 x 1 Bedroom Flats</w:t>
      </w:r>
    </w:p>
    <w:p w:rsidR="00996F7B" w:rsidRPr="001C1CC9" w:rsidRDefault="00996F7B" w:rsidP="00996F7B">
      <w:pPr>
        <w:rPr>
          <w:iCs/>
        </w:rPr>
      </w:pPr>
      <w:r w:rsidRPr="001C1CC9">
        <w:rPr>
          <w:iCs/>
        </w:rPr>
        <w:t>8 x 2 Bedroom Flats</w:t>
      </w:r>
    </w:p>
    <w:p w:rsidR="00996F7B" w:rsidRPr="001C1CC9" w:rsidRDefault="00996F7B" w:rsidP="00996F7B">
      <w:pPr>
        <w:rPr>
          <w:iCs/>
        </w:rPr>
      </w:pPr>
      <w:r w:rsidRPr="001C1CC9">
        <w:rPr>
          <w:iCs/>
        </w:rPr>
        <w:t>19 x 2 Bedroom House</w:t>
      </w:r>
    </w:p>
    <w:p w:rsidR="00996F7B" w:rsidRPr="001C1CC9" w:rsidRDefault="00996F7B" w:rsidP="00996F7B">
      <w:pPr>
        <w:rPr>
          <w:iCs/>
        </w:rPr>
      </w:pPr>
      <w:r w:rsidRPr="001C1CC9">
        <w:rPr>
          <w:iCs/>
        </w:rPr>
        <w:t>6 x 3 Bedroom House</w:t>
      </w:r>
    </w:p>
    <w:p w:rsidR="00996F7B" w:rsidRPr="001C1CC9" w:rsidRDefault="00996F7B" w:rsidP="00996F7B">
      <w:pPr>
        <w:rPr>
          <w:iCs/>
        </w:rPr>
      </w:pPr>
      <w:r w:rsidRPr="001C1CC9">
        <w:rPr>
          <w:iCs/>
        </w:rPr>
        <w:t>1 x 4 Bedroom House  </w:t>
      </w:r>
    </w:p>
    <w:p w:rsidR="00996F7B" w:rsidRPr="001C1CC9" w:rsidRDefault="00996F7B" w:rsidP="00996F7B"/>
    <w:p w:rsidR="00996F7B" w:rsidRPr="001C1CC9" w:rsidRDefault="00996F7B" w:rsidP="00996F7B">
      <w:pPr>
        <w:rPr>
          <w:iCs/>
        </w:rPr>
      </w:pPr>
      <w:r w:rsidRPr="001C1CC9">
        <w:rPr>
          <w:iCs/>
        </w:rPr>
        <w:t>The first phase is 5 properties handing over in February 2018 with a further 15 completing April-June 18. 24 properties are due to handover 2018/2019 and 21 due in 2020/2021.</w:t>
      </w:r>
    </w:p>
    <w:p w:rsidR="00996F7B" w:rsidRPr="001C1CC9" w:rsidRDefault="00996F7B" w:rsidP="00996F7B">
      <w:pPr>
        <w:rPr>
          <w:iCs/>
        </w:rPr>
      </w:pPr>
    </w:p>
    <w:p w:rsidR="001C1CC9" w:rsidRPr="001C1CC9" w:rsidRDefault="007715E5" w:rsidP="001C1CC9">
      <w:pPr>
        <w:rPr>
          <w:iCs/>
        </w:rPr>
      </w:pPr>
      <w:r>
        <w:rPr>
          <w:iCs/>
        </w:rPr>
        <w:t>The 65 rented properties</w:t>
      </w:r>
      <w:r w:rsidR="001C1CC9" w:rsidRPr="001C1CC9">
        <w:rPr>
          <w:iCs/>
        </w:rPr>
        <w:t xml:space="preserve"> will be </w:t>
      </w:r>
      <w:r>
        <w:rPr>
          <w:iCs/>
        </w:rPr>
        <w:t xml:space="preserve">prioritised </w:t>
      </w:r>
      <w:r w:rsidR="001C1CC9" w:rsidRPr="001C1CC9">
        <w:rPr>
          <w:iCs/>
        </w:rPr>
        <w:t>to differ</w:t>
      </w:r>
      <w:r w:rsidR="009A57D5">
        <w:rPr>
          <w:iCs/>
        </w:rPr>
        <w:t>ent</w:t>
      </w:r>
      <w:r w:rsidR="001C1CC9" w:rsidRPr="001C1CC9">
        <w:rPr>
          <w:iCs/>
        </w:rPr>
        <w:t xml:space="preserve"> groups </w:t>
      </w:r>
      <w:r>
        <w:rPr>
          <w:iCs/>
        </w:rPr>
        <w:t>(A</w:t>
      </w:r>
      <w:proofErr w:type="gramStart"/>
      <w:r>
        <w:rPr>
          <w:iCs/>
        </w:rPr>
        <w:t>,B</w:t>
      </w:r>
      <w:proofErr w:type="gramEnd"/>
      <w:r>
        <w:rPr>
          <w:iCs/>
        </w:rPr>
        <w:t xml:space="preserve"> and C) as follows</w:t>
      </w:r>
      <w:r w:rsidR="001C1CC9">
        <w:rPr>
          <w:iCs/>
        </w:rPr>
        <w:t>:</w:t>
      </w:r>
      <w:r w:rsidR="001C1CC9" w:rsidRPr="001C1CC9">
        <w:rPr>
          <w:iCs/>
        </w:rPr>
        <w:t xml:space="preserve"> </w:t>
      </w:r>
    </w:p>
    <w:p w:rsidR="001C1CC9" w:rsidRPr="001C1CC9" w:rsidRDefault="001C1CC9" w:rsidP="00996F7B">
      <w:pPr>
        <w:rPr>
          <w:iCs/>
        </w:rPr>
      </w:pPr>
    </w:p>
    <w:p w:rsidR="00996F7B" w:rsidRPr="001C1CC9" w:rsidRDefault="00996F7B" w:rsidP="00996F7B">
      <w:pPr>
        <w:rPr>
          <w:iCs/>
        </w:rPr>
      </w:pPr>
      <w:r w:rsidRPr="001C1CC9">
        <w:rPr>
          <w:iCs/>
        </w:rPr>
        <w:t xml:space="preserve">Group </w:t>
      </w:r>
      <w:proofErr w:type="gramStart"/>
      <w:r w:rsidRPr="001C1CC9">
        <w:rPr>
          <w:iCs/>
        </w:rPr>
        <w:t>A</w:t>
      </w:r>
      <w:proofErr w:type="gramEnd"/>
      <w:r w:rsidRPr="001C1CC9">
        <w:rPr>
          <w:iCs/>
        </w:rPr>
        <w:t xml:space="preserve"> – 20</w:t>
      </w:r>
    </w:p>
    <w:p w:rsidR="00996F7B" w:rsidRPr="001C1CC9" w:rsidRDefault="00996F7B" w:rsidP="00996F7B">
      <w:pPr>
        <w:rPr>
          <w:iCs/>
        </w:rPr>
      </w:pPr>
      <w:r w:rsidRPr="001C1CC9">
        <w:rPr>
          <w:iCs/>
        </w:rPr>
        <w:t>Group B – 26</w:t>
      </w:r>
    </w:p>
    <w:p w:rsidR="00996F7B" w:rsidRPr="001C1CC9" w:rsidRDefault="00996F7B" w:rsidP="00996F7B">
      <w:pPr>
        <w:rPr>
          <w:iCs/>
        </w:rPr>
      </w:pPr>
      <w:r w:rsidRPr="001C1CC9">
        <w:rPr>
          <w:iCs/>
        </w:rPr>
        <w:t>Group C – 19</w:t>
      </w:r>
    </w:p>
    <w:p w:rsidR="00411886" w:rsidRDefault="0090322B" w:rsidP="0068141A">
      <w:pPr>
        <w:pStyle w:val="Heading1"/>
      </w:pPr>
      <w:r>
        <w:t>P</w:t>
      </w:r>
      <w:r w:rsidR="00411886" w:rsidRPr="0068141A">
        <w:t>urpose</w:t>
      </w:r>
      <w:r w:rsidR="00411886" w:rsidRPr="006E229D">
        <w:t xml:space="preserve"> of the plan</w:t>
      </w:r>
    </w:p>
    <w:p w:rsidR="00996F7B" w:rsidRDefault="00094008" w:rsidP="00996F7B">
      <w:r>
        <w:t>The</w:t>
      </w:r>
      <w:r w:rsidR="00996F7B">
        <w:t xml:space="preserve"> purpose </w:t>
      </w:r>
      <w:r w:rsidR="009D66AE">
        <w:t>o</w:t>
      </w:r>
      <w:r w:rsidR="00996F7B">
        <w:t xml:space="preserve">f this plan is to ensure that housing allocations to </w:t>
      </w:r>
      <w:r>
        <w:t>Warminster</w:t>
      </w:r>
      <w:r w:rsidR="00996F7B">
        <w:t xml:space="preserve"> Road, Bath site helps to create a mixed and sus</w:t>
      </w:r>
      <w:r>
        <w:t xml:space="preserve">tainable community and </w:t>
      </w:r>
      <w:r w:rsidR="007715E5">
        <w:t xml:space="preserve">to </w:t>
      </w:r>
      <w:r>
        <w:t xml:space="preserve">contribute </w:t>
      </w:r>
      <w:r w:rsidR="00996F7B">
        <w:t xml:space="preserve">to making Bath &amp; North East Somerset an even better place to live, work and visit. </w:t>
      </w:r>
    </w:p>
    <w:p w:rsidR="00094008" w:rsidRDefault="00094008" w:rsidP="00996F7B"/>
    <w:p w:rsidR="00094008" w:rsidRDefault="00094008" w:rsidP="00094008">
      <w:pPr>
        <w:rPr>
          <w:color w:val="000000"/>
        </w:rPr>
      </w:pPr>
      <w:r>
        <w:t>This plan will be re-visited after each phase to enable</w:t>
      </w:r>
      <w:r w:rsidR="007715E5">
        <w:t xml:space="preserve"> Selwood and the Council</w:t>
      </w:r>
      <w:r>
        <w:t xml:space="preserve"> to assess the ongoing mix of the community.  </w:t>
      </w:r>
      <w:r w:rsidRPr="00A72360">
        <w:rPr>
          <w:color w:val="000000"/>
        </w:rPr>
        <w:t>The following phrase will be used in the advert and when shortlisting these properties</w:t>
      </w:r>
      <w:r w:rsidR="00086518">
        <w:rPr>
          <w:color w:val="000000"/>
        </w:rPr>
        <w:t>.</w:t>
      </w:r>
    </w:p>
    <w:p w:rsidR="00094008" w:rsidRPr="00094008" w:rsidRDefault="00094008" w:rsidP="00094008"/>
    <w:p w:rsidR="00086518" w:rsidRDefault="007715E5" w:rsidP="00094008">
      <w:r>
        <w:t>‘</w:t>
      </w:r>
      <w:r w:rsidR="00094008" w:rsidRPr="00A72360">
        <w:t xml:space="preserve">These properties will be let under a new build lettings plan which has been agreed with </w:t>
      </w:r>
      <w:r w:rsidR="00094008">
        <w:t>Bath a</w:t>
      </w:r>
      <w:r w:rsidR="00094008" w:rsidRPr="00A72360">
        <w:t>nd North East Somerset</w:t>
      </w:r>
      <w:r>
        <w:t>’</w:t>
      </w:r>
      <w:bookmarkStart w:id="0" w:name="_GoBack"/>
      <w:bookmarkEnd w:id="0"/>
      <w:r w:rsidR="00094008" w:rsidRPr="00A72360">
        <w:t>. </w:t>
      </w:r>
    </w:p>
    <w:p w:rsidR="00A62650" w:rsidRDefault="00094008" w:rsidP="00094008">
      <w:r w:rsidRPr="00A72360">
        <w:t xml:space="preserve"> </w:t>
      </w:r>
    </w:p>
    <w:p w:rsidR="00094008" w:rsidRDefault="00094008" w:rsidP="00094008">
      <w:r w:rsidRPr="00A72360">
        <w:t>Selwood Housing is committed to assisting BANES to meet housing need in the area together with creating thriving communities where people want to live.</w:t>
      </w:r>
    </w:p>
    <w:p w:rsidR="00A62650" w:rsidRPr="00A72360" w:rsidRDefault="00A62650" w:rsidP="00094008"/>
    <w:p w:rsidR="00094008" w:rsidRPr="00A72360" w:rsidRDefault="007715E5" w:rsidP="00094008">
      <w:r>
        <w:t xml:space="preserve">The Plan </w:t>
      </w:r>
      <w:r w:rsidR="00094008" w:rsidRPr="00A72360">
        <w:t>aim</w:t>
      </w:r>
      <w:r>
        <w:t>s</w:t>
      </w:r>
      <w:r w:rsidR="00094008" w:rsidRPr="00A72360">
        <w:t xml:space="preserve"> to let homes to applicants with a mix of needs and, on occasion, we will prioritise applicants with a lower housing or support need. Th</w:t>
      </w:r>
      <w:r w:rsidR="00A62650">
        <w:t>ese</w:t>
      </w:r>
      <w:r w:rsidR="00094008" w:rsidRPr="00A72360">
        <w:t xml:space="preserve"> criteria may be applied as we review progress with letting this site to ensure the community will be sustainable.</w:t>
      </w:r>
    </w:p>
    <w:p w:rsidR="00A62650" w:rsidRDefault="00A62650" w:rsidP="00094008"/>
    <w:p w:rsidR="00094008" w:rsidRPr="00A72360" w:rsidRDefault="00094008" w:rsidP="00094008">
      <w:r w:rsidRPr="00A72360">
        <w:t>Applicants must be able to look after their home and maintain a tenancy and where there is a support need; appropriate provisions must be in place.</w:t>
      </w:r>
    </w:p>
    <w:p w:rsidR="00094008" w:rsidRDefault="00094008" w:rsidP="00996F7B"/>
    <w:p w:rsidR="00940AF0" w:rsidRDefault="001C1CC9" w:rsidP="00940AF0">
      <w:pPr>
        <w:pStyle w:val="Heading1"/>
      </w:pPr>
      <w:r>
        <w:lastRenderedPageBreak/>
        <w:t>O</w:t>
      </w:r>
      <w:r w:rsidR="00940AF0" w:rsidRPr="0068141A">
        <w:t>bjectives</w:t>
      </w:r>
      <w:r w:rsidR="00940AF0">
        <w:t xml:space="preserve"> </w:t>
      </w:r>
    </w:p>
    <w:p w:rsidR="00094008" w:rsidRDefault="00941152" w:rsidP="00094008">
      <w:r>
        <w:t>The local letting plan aims to achieve the following objectives:</w:t>
      </w:r>
    </w:p>
    <w:p w:rsidR="001C1CC9" w:rsidRDefault="001C1CC9" w:rsidP="00094008"/>
    <w:p w:rsidR="00941152" w:rsidRDefault="005430E9" w:rsidP="00941152">
      <w:pPr>
        <w:numPr>
          <w:ilvl w:val="0"/>
          <w:numId w:val="16"/>
        </w:numPr>
      </w:pPr>
      <w:r>
        <w:t>P</w:t>
      </w:r>
      <w:r w:rsidR="00941152">
        <w:t>ro</w:t>
      </w:r>
      <w:r>
        <w:t>vide homes for people with different housing needs;</w:t>
      </w:r>
    </w:p>
    <w:p w:rsidR="00086518" w:rsidRDefault="00086518" w:rsidP="00086518">
      <w:pPr>
        <w:ind w:left="360"/>
      </w:pPr>
    </w:p>
    <w:p w:rsidR="005430E9" w:rsidRDefault="005430E9" w:rsidP="00941152">
      <w:pPr>
        <w:numPr>
          <w:ilvl w:val="0"/>
          <w:numId w:val="16"/>
        </w:numPr>
      </w:pPr>
      <w:r>
        <w:t>Create a community which is diverse and representative of the district</w:t>
      </w:r>
      <w:r w:rsidR="00086518">
        <w:t xml:space="preserve"> to ensure</w:t>
      </w:r>
      <w:r>
        <w:t xml:space="preserve"> a broad age range of adults and children living on the development;</w:t>
      </w:r>
    </w:p>
    <w:p w:rsidR="001C1CC9" w:rsidRDefault="001C1CC9" w:rsidP="001C1CC9">
      <w:pPr>
        <w:ind w:left="360"/>
      </w:pPr>
    </w:p>
    <w:p w:rsidR="005430E9" w:rsidRDefault="005430E9" w:rsidP="005430E9">
      <w:pPr>
        <w:numPr>
          <w:ilvl w:val="0"/>
          <w:numId w:val="16"/>
        </w:numPr>
      </w:pPr>
      <w:r>
        <w:t xml:space="preserve">Aim to provide 40-50% of homes to people in employment (but not excluding applicants who cannot work due to disability, age or infant childcare); </w:t>
      </w:r>
    </w:p>
    <w:p w:rsidR="00086518" w:rsidRDefault="00086518" w:rsidP="00086518">
      <w:pPr>
        <w:pStyle w:val="ListParagraph"/>
      </w:pPr>
    </w:p>
    <w:p w:rsidR="00086518" w:rsidRDefault="00086518" w:rsidP="005430E9">
      <w:pPr>
        <w:numPr>
          <w:ilvl w:val="0"/>
          <w:numId w:val="16"/>
        </w:numPr>
      </w:pPr>
      <w:r>
        <w:t>30% of one bedroom flats to be allocated to couples</w:t>
      </w:r>
    </w:p>
    <w:p w:rsidR="001C1CC9" w:rsidRDefault="001C1CC9" w:rsidP="001C1CC9">
      <w:pPr>
        <w:pStyle w:val="ListParagraph"/>
      </w:pPr>
    </w:p>
    <w:p w:rsidR="001C1CC9" w:rsidRDefault="001C1CC9" w:rsidP="001C1CC9">
      <w:pPr>
        <w:ind w:left="360"/>
      </w:pPr>
    </w:p>
    <w:p w:rsidR="001C1CC9" w:rsidRDefault="005430E9" w:rsidP="005430E9">
      <w:pPr>
        <w:numPr>
          <w:ilvl w:val="0"/>
          <w:numId w:val="16"/>
        </w:numPr>
      </w:pPr>
      <w:r>
        <w:t>Manage allocations to applicants with a high support needs relevant to management issues.</w:t>
      </w:r>
    </w:p>
    <w:p w:rsidR="005430E9" w:rsidRDefault="005430E9" w:rsidP="001C1CC9">
      <w:pPr>
        <w:ind w:left="360"/>
      </w:pPr>
      <w:r>
        <w:t xml:space="preserve"> </w:t>
      </w:r>
    </w:p>
    <w:p w:rsidR="001C1CC9" w:rsidRDefault="005430E9" w:rsidP="005430E9">
      <w:pPr>
        <w:numPr>
          <w:ilvl w:val="0"/>
          <w:numId w:val="16"/>
        </w:numPr>
      </w:pPr>
      <w:r>
        <w:t>Balance the needs of existing social tenants and other people on the Homesearch Allocation Scheme;</w:t>
      </w:r>
    </w:p>
    <w:p w:rsidR="001C1CC9" w:rsidRDefault="001C1CC9" w:rsidP="001C1CC9">
      <w:pPr>
        <w:pStyle w:val="ListParagraph"/>
      </w:pPr>
    </w:p>
    <w:p w:rsidR="005430E9" w:rsidRDefault="005430E9" w:rsidP="005430E9">
      <w:pPr>
        <w:numPr>
          <w:ilvl w:val="0"/>
          <w:numId w:val="16"/>
        </w:numPr>
      </w:pPr>
      <w:r>
        <w:t xml:space="preserve">Take into account the location of individuals units to ensure that the needs of applicant can be managed appropriately within the development. </w:t>
      </w:r>
    </w:p>
    <w:p w:rsidR="005430E9" w:rsidRDefault="005430E9" w:rsidP="005430E9"/>
    <w:p w:rsidR="005430E9" w:rsidRDefault="005430E9" w:rsidP="005430E9"/>
    <w:p w:rsidR="005430E9" w:rsidRDefault="005430E9" w:rsidP="005430E9">
      <w:r>
        <w:t xml:space="preserve">Where it is reasonable, applicants may be refused accommodation on the development to ensure that a mixed and sustainable community is created. For example applicants with a history </w:t>
      </w:r>
      <w:r w:rsidR="00694701">
        <w:t xml:space="preserve">of anti-social behaviour or previous tenancy management issues may be refused accommodation on the development. </w:t>
      </w:r>
    </w:p>
    <w:p w:rsidR="00694701" w:rsidRDefault="00694701" w:rsidP="005430E9"/>
    <w:p w:rsidR="00694701" w:rsidRPr="00094008" w:rsidRDefault="00694701" w:rsidP="005430E9">
      <w:r>
        <w:t>In accordance with the Homesearch policy, the plan will aim to allocate no more than 25% of properties to existing Selwood Housing tenants (Transfer)</w:t>
      </w:r>
    </w:p>
    <w:p w:rsidR="00411886" w:rsidRDefault="00411886" w:rsidP="0068141A">
      <w:pPr>
        <w:pStyle w:val="Heading1"/>
      </w:pPr>
      <w:r w:rsidRPr="0068141A">
        <w:t>Timescale</w:t>
      </w:r>
    </w:p>
    <w:p w:rsidR="00694701" w:rsidRPr="00694701" w:rsidRDefault="00694701" w:rsidP="00694701">
      <w:r>
        <w:t xml:space="preserve">The plan will commence December 2017 and the plan will be reviewed after each new phase of </w:t>
      </w:r>
      <w:proofErr w:type="gramStart"/>
      <w:r>
        <w:t>the</w:t>
      </w:r>
      <w:proofErr w:type="gramEnd"/>
      <w:r>
        <w:t xml:space="preserve"> new build site. </w:t>
      </w:r>
    </w:p>
    <w:p w:rsidR="00411886" w:rsidRPr="006E229D" w:rsidRDefault="00411886" w:rsidP="0068141A">
      <w:pPr>
        <w:pStyle w:val="Heading1"/>
      </w:pPr>
      <w:r w:rsidRPr="0068141A">
        <w:t>Review</w:t>
      </w:r>
      <w:r w:rsidRPr="006E229D">
        <w:t xml:space="preserve"> date</w:t>
      </w:r>
    </w:p>
    <w:p w:rsidR="005F5693" w:rsidRPr="00B13A4A" w:rsidRDefault="0068141A" w:rsidP="0068141A">
      <w:r w:rsidRPr="00B13A4A">
        <w:t xml:space="preserve">The </w:t>
      </w:r>
      <w:r w:rsidR="006C1FBC" w:rsidRPr="00B13A4A">
        <w:t>Lettings P</w:t>
      </w:r>
      <w:r w:rsidR="00A84AC3" w:rsidRPr="00B13A4A">
        <w:t>lan</w:t>
      </w:r>
      <w:r w:rsidRPr="00B13A4A">
        <w:t xml:space="preserve"> will be reviewed </w:t>
      </w:r>
      <w:r w:rsidR="00225811" w:rsidRPr="00B13A4A">
        <w:t>after twelve months.</w:t>
      </w:r>
    </w:p>
    <w:p w:rsidR="00A013FB" w:rsidRDefault="0068141A" w:rsidP="0068141A">
      <w:pPr>
        <w:pStyle w:val="Heading1"/>
      </w:pPr>
      <w:r>
        <w:t>Equalities</w:t>
      </w:r>
    </w:p>
    <w:p w:rsidR="0068141A" w:rsidRPr="00B13A4A" w:rsidRDefault="0068141A" w:rsidP="0068141A">
      <w:r w:rsidRPr="00B13A4A">
        <w:t xml:space="preserve">All applicants will be considered individually.  </w:t>
      </w:r>
      <w:r w:rsidR="00640CAB" w:rsidRPr="00B13A4A">
        <w:t>Housing Services</w:t>
      </w:r>
      <w:r w:rsidR="00A15B3B" w:rsidRPr="00B13A4A">
        <w:t xml:space="preserve"> and </w:t>
      </w:r>
      <w:r w:rsidR="001408E3">
        <w:t>Selwood</w:t>
      </w:r>
      <w:r w:rsidRPr="00B13A4A">
        <w:t xml:space="preserve"> will comply with the Equality Act 2010 and </w:t>
      </w:r>
      <w:r w:rsidR="00FB7413" w:rsidRPr="00B13A4A">
        <w:t xml:space="preserve">provide </w:t>
      </w:r>
      <w:r w:rsidRPr="00B13A4A">
        <w:t xml:space="preserve">evidence </w:t>
      </w:r>
      <w:r w:rsidR="00FB7413" w:rsidRPr="00B13A4A">
        <w:t>for the</w:t>
      </w:r>
      <w:r w:rsidRPr="00B13A4A">
        <w:t xml:space="preserve"> reason for refusing a</w:t>
      </w:r>
      <w:r w:rsidR="00FB7413" w:rsidRPr="00B13A4A">
        <w:t>ccommodation to an applicant</w:t>
      </w:r>
      <w:r w:rsidRPr="00B13A4A">
        <w:t xml:space="preserve">.  </w:t>
      </w:r>
    </w:p>
    <w:p w:rsidR="0068141A" w:rsidRDefault="0068141A" w:rsidP="0068141A">
      <w:pPr>
        <w:pStyle w:val="Heading1"/>
      </w:pPr>
      <w:r>
        <w:lastRenderedPageBreak/>
        <w:t>Important information</w:t>
      </w:r>
    </w:p>
    <w:p w:rsidR="0068141A" w:rsidRPr="00B13A4A" w:rsidRDefault="0068141A" w:rsidP="0068141A">
      <w:pPr>
        <w:spacing w:before="240"/>
        <w:rPr>
          <w:rFonts w:cs="Arial"/>
        </w:rPr>
      </w:pPr>
      <w:r w:rsidRPr="00B13A4A">
        <w:t xml:space="preserve">With the exception of the requirements of this Local Letting Plan, </w:t>
      </w:r>
      <w:r w:rsidR="00640CAB" w:rsidRPr="00B13A4A">
        <w:t>Housing Services</w:t>
      </w:r>
      <w:r w:rsidRPr="00B13A4A">
        <w:t xml:space="preserve"> </w:t>
      </w:r>
      <w:r w:rsidR="00A84AC3" w:rsidRPr="00B13A4A">
        <w:t xml:space="preserve">and </w:t>
      </w:r>
      <w:r w:rsidR="00C518F7">
        <w:t>Selwood</w:t>
      </w:r>
      <w:r w:rsidRPr="00B13A4A">
        <w:t xml:space="preserve"> will comply with the Homesearch </w:t>
      </w:r>
      <w:r w:rsidR="000B39A6">
        <w:t>Allocation Scheme</w:t>
      </w:r>
      <w:r w:rsidRPr="00B13A4A">
        <w:t xml:space="preserve"> and </w:t>
      </w:r>
      <w:r w:rsidR="006E1C7F" w:rsidRPr="00B13A4A">
        <w:t>Nomination</w:t>
      </w:r>
      <w:r w:rsidRPr="00B13A4A">
        <w:t xml:space="preserve"> Agreement.</w:t>
      </w:r>
    </w:p>
    <w:p w:rsidR="00397137" w:rsidRPr="00B13A4A" w:rsidRDefault="00397137" w:rsidP="0068141A"/>
    <w:p w:rsidR="00397137" w:rsidRPr="00B13A4A" w:rsidRDefault="00640CAB" w:rsidP="00397137">
      <w:r w:rsidRPr="00B13A4A">
        <w:t>Housing Services</w:t>
      </w:r>
      <w:r w:rsidR="00A15B3B" w:rsidRPr="00B13A4A">
        <w:t xml:space="preserve"> must ensure that this scheme does not dominate the Homesearch Allocation </w:t>
      </w:r>
      <w:r w:rsidR="000B39A6">
        <w:t>S</w:t>
      </w:r>
      <w:r w:rsidR="00A15B3B" w:rsidRPr="00B13A4A">
        <w:t>cheme and that overall, the scheme give</w:t>
      </w:r>
      <w:r w:rsidR="00FB7413" w:rsidRPr="00B13A4A">
        <w:t>s</w:t>
      </w:r>
      <w:r w:rsidR="00A15B3B" w:rsidRPr="00B13A4A">
        <w:t xml:space="preserve"> reasonable preference to those in the statutory reasonable preference categories</w:t>
      </w:r>
      <w:r w:rsidR="006D1665" w:rsidRPr="00B13A4A">
        <w:t>.</w:t>
      </w:r>
      <w:r w:rsidR="00A15B3B" w:rsidRPr="00B13A4A">
        <w:t xml:space="preserve"> </w:t>
      </w:r>
    </w:p>
    <w:p w:rsidR="00397137" w:rsidRPr="0068141A" w:rsidRDefault="00397137" w:rsidP="0068141A"/>
    <w:sectPr w:rsidR="00397137" w:rsidRPr="0068141A" w:rsidSect="00666226">
      <w:headerReference w:type="first" r:id="rId14"/>
      <w:footerReference w:type="first" r:id="rId15"/>
      <w:pgSz w:w="11906" w:h="16838" w:code="9"/>
      <w:pgMar w:top="1440" w:right="748" w:bottom="1440" w:left="90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E9" w:rsidRDefault="005430E9">
      <w:r>
        <w:separator/>
      </w:r>
    </w:p>
  </w:endnote>
  <w:endnote w:type="continuationSeparator" w:id="0">
    <w:p w:rsidR="005430E9" w:rsidRDefault="0054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E9" w:rsidRDefault="00694701">
    <w:pPr>
      <w:pStyle w:val="Footer"/>
    </w:pPr>
    <w:r>
      <w:rPr>
        <w:noProof/>
      </w:rPr>
      <w:drawing>
        <wp:inline distT="0" distB="0" distL="0" distR="0">
          <wp:extent cx="400050" cy="638175"/>
          <wp:effectExtent l="19050" t="0" r="0" b="0"/>
          <wp:docPr id="3" name="Picture 3" descr="c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e 2"/>
                  <pic:cNvPicPr>
                    <a:picLocks noChangeAspect="1" noChangeArrowheads="1"/>
                  </pic:cNvPicPr>
                </pic:nvPicPr>
                <pic:blipFill>
                  <a:blip r:embed="rId1"/>
                  <a:srcRect/>
                  <a:stretch>
                    <a:fillRect/>
                  </a:stretch>
                </pic:blipFill>
                <pic:spPr bwMode="auto">
                  <a:xfrm>
                    <a:off x="0" y="0"/>
                    <a:ext cx="400050" cy="638175"/>
                  </a:xfrm>
                  <a:prstGeom prst="rect">
                    <a:avLst/>
                  </a:prstGeom>
                  <a:noFill/>
                  <a:ln w="9525">
                    <a:noFill/>
                    <a:miter lim="800000"/>
                    <a:headEnd/>
                    <a:tailEnd/>
                  </a:ln>
                </pic:spPr>
              </pic:pic>
            </a:graphicData>
          </a:graphic>
        </wp:inline>
      </w:drawing>
    </w:r>
    <w:r w:rsidR="007715E5">
      <w:rPr>
        <w:noProof/>
      </w:rPr>
      <w:pict>
        <v:shapetype id="_x0000_t6" coordsize="21600,21600" o:spt="6" path="m,l,21600r21600,xe">
          <v:stroke joinstyle="miter"/>
          <v:path gradientshapeok="t" o:connecttype="custom" o:connectlocs="0,0;0,10800;0,21600;10800,21600;21600,21600;10800,10800" textboxrect="1800,12600,12600,19800"/>
        </v:shapetype>
        <v:shape id="_x0000_s2058" type="#_x0000_t6" style="position:absolute;margin-left:437.05pt;margin-top:688.05pt;width:1in;height:1in;z-index:-251657728;mso-position-horizontal-relative:text;mso-position-vertical-relative:page" wrapcoords="-225 225 -225 21375 21600 21375 450 225 -225 225" fillcolor="#36f" stroked="f">
          <w10:wrap type="square" anchory="page"/>
        </v:shape>
      </w:pict>
    </w:r>
    <w:r w:rsidR="007715E5">
      <w:rPr>
        <w:noProof/>
      </w:rPr>
      <w:pict>
        <v:rect id="_x0000_s2057" style="position:absolute;margin-left:-49.15pt;margin-top:760.05pt;width:621pt;height:85.9pt;z-index:-251658752;mso-position-horizontal-relative:text;mso-position-vertical-relative:page" wrapcoords="-26 0 -26 21412 21600 21412 21600 0 -26 0" fillcolor="#36f" stroked="f" strokecolor="blue">
          <w10:wrap type="square" anchory="page"/>
        </v:rect>
      </w:pict>
    </w:r>
    <w:r w:rsidR="007715E5">
      <w:rPr>
        <w:noProof/>
      </w:rPr>
      <w:pict>
        <v:shapetype id="_x0000_t202" coordsize="21600,21600" o:spt="202" path="m,l,21600r21600,l21600,xe">
          <v:stroke joinstyle="miter"/>
          <v:path gradientshapeok="t" o:connecttype="rect"/>
        </v:shapetype>
        <v:shape id="_x0000_s2059" type="#_x0000_t202" style="position:absolute;margin-left:131.2pt;margin-top:778.2pt;width:386.7pt;height:54pt;z-index:251656704;mso-position-horizontal-relative:text;mso-position-vertical-relative:page" filled="f" stroked="f">
          <v:textbox style="mso-next-textbox:#_x0000_s2059">
            <w:txbxContent>
              <w:p w:rsidR="005430E9" w:rsidRPr="00601B91" w:rsidRDefault="005430E9" w:rsidP="00601B91">
                <w:pPr>
                  <w:rPr>
                    <w:rFonts w:cs="Arial"/>
                    <w:color w:val="FFFFFF"/>
                    <w:sz w:val="32"/>
                    <w:szCs w:val="28"/>
                  </w:rPr>
                </w:pPr>
                <w:r w:rsidRPr="00601B91">
                  <w:rPr>
                    <w:rFonts w:cs="Arial"/>
                    <w:color w:val="FFFFFF"/>
                    <w:sz w:val="32"/>
                    <w:szCs w:val="28"/>
                  </w:rPr>
                  <w:t>Creating mixed and sustainable communities</w:t>
                </w:r>
              </w:p>
              <w:p w:rsidR="005430E9" w:rsidRPr="00E171E1" w:rsidRDefault="005430E9" w:rsidP="00E171E1">
                <w:pPr>
                  <w:rPr>
                    <w:rFonts w:ascii="Helvetica" w:hAnsi="Helvetica" w:cs="Helvetica"/>
                    <w:color w:val="FFFFFF"/>
                    <w:sz w:val="28"/>
                    <w:szCs w:val="28"/>
                  </w:rPr>
                </w:pPr>
              </w:p>
            </w:txbxContent>
          </v:textbox>
          <w10:wrap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E9" w:rsidRDefault="005430E9">
      <w:r>
        <w:separator/>
      </w:r>
    </w:p>
  </w:footnote>
  <w:footnote w:type="continuationSeparator" w:id="0">
    <w:p w:rsidR="005430E9" w:rsidRDefault="0054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E9" w:rsidRDefault="00694701" w:rsidP="006E229D">
    <w:pPr>
      <w:pStyle w:val="Header"/>
    </w:pPr>
    <w:r>
      <w:rPr>
        <w:noProof/>
      </w:rPr>
      <w:drawing>
        <wp:inline distT="0" distB="0" distL="0" distR="0">
          <wp:extent cx="2200275" cy="819150"/>
          <wp:effectExtent l="19050" t="0" r="9525" b="0"/>
          <wp:docPr id="2" name="Picture 2" descr="Logo b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nes"/>
                  <pic:cNvPicPr>
                    <a:picLocks noChangeAspect="1" noChangeArrowheads="1"/>
                  </pic:cNvPicPr>
                </pic:nvPicPr>
                <pic:blipFill>
                  <a:blip r:embed="rId1"/>
                  <a:srcRect/>
                  <a:stretch>
                    <a:fillRect/>
                  </a:stretch>
                </pic:blipFill>
                <pic:spPr bwMode="auto">
                  <a:xfrm>
                    <a:off x="0" y="0"/>
                    <a:ext cx="2200275"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75"/>
    <w:multiLevelType w:val="hybridMultilevel"/>
    <w:tmpl w:val="571E9890"/>
    <w:lvl w:ilvl="0" w:tplc="0E7046AE">
      <w:start w:val="1"/>
      <w:numFmt w:val="bullet"/>
      <w:lvlText w:val=""/>
      <w:lvlJc w:val="left"/>
      <w:pPr>
        <w:ind w:left="720" w:hanging="360"/>
      </w:pPr>
      <w:rPr>
        <w:rFonts w:ascii="Symbol" w:hAnsi="Symbol" w:hint="default"/>
        <w:color w:val="668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A1D3A"/>
    <w:multiLevelType w:val="hybridMultilevel"/>
    <w:tmpl w:val="000C189E"/>
    <w:lvl w:ilvl="0" w:tplc="E06C34BC">
      <w:start w:val="1"/>
      <w:numFmt w:val="bullet"/>
      <w:lvlText w:val="•"/>
      <w:lvlJc w:val="left"/>
      <w:pPr>
        <w:tabs>
          <w:tab w:val="num" w:pos="720"/>
        </w:tabs>
        <w:ind w:left="720" w:hanging="360"/>
      </w:pPr>
      <w:rPr>
        <w:rFonts w:ascii="Times New Roman" w:hAnsi="Times New Roman" w:hint="default"/>
      </w:rPr>
    </w:lvl>
    <w:lvl w:ilvl="1" w:tplc="9C168DEE" w:tentative="1">
      <w:start w:val="1"/>
      <w:numFmt w:val="bullet"/>
      <w:lvlText w:val="•"/>
      <w:lvlJc w:val="left"/>
      <w:pPr>
        <w:tabs>
          <w:tab w:val="num" w:pos="1440"/>
        </w:tabs>
        <w:ind w:left="1440" w:hanging="360"/>
      </w:pPr>
      <w:rPr>
        <w:rFonts w:ascii="Times New Roman" w:hAnsi="Times New Roman" w:hint="default"/>
      </w:rPr>
    </w:lvl>
    <w:lvl w:ilvl="2" w:tplc="8BE4105E" w:tentative="1">
      <w:start w:val="1"/>
      <w:numFmt w:val="bullet"/>
      <w:lvlText w:val="•"/>
      <w:lvlJc w:val="left"/>
      <w:pPr>
        <w:tabs>
          <w:tab w:val="num" w:pos="2160"/>
        </w:tabs>
        <w:ind w:left="2160" w:hanging="360"/>
      </w:pPr>
      <w:rPr>
        <w:rFonts w:ascii="Times New Roman" w:hAnsi="Times New Roman" w:hint="default"/>
      </w:rPr>
    </w:lvl>
    <w:lvl w:ilvl="3" w:tplc="5A3659B4" w:tentative="1">
      <w:start w:val="1"/>
      <w:numFmt w:val="bullet"/>
      <w:lvlText w:val="•"/>
      <w:lvlJc w:val="left"/>
      <w:pPr>
        <w:tabs>
          <w:tab w:val="num" w:pos="2880"/>
        </w:tabs>
        <w:ind w:left="2880" w:hanging="360"/>
      </w:pPr>
      <w:rPr>
        <w:rFonts w:ascii="Times New Roman" w:hAnsi="Times New Roman" w:hint="default"/>
      </w:rPr>
    </w:lvl>
    <w:lvl w:ilvl="4" w:tplc="CEE0279A" w:tentative="1">
      <w:start w:val="1"/>
      <w:numFmt w:val="bullet"/>
      <w:lvlText w:val="•"/>
      <w:lvlJc w:val="left"/>
      <w:pPr>
        <w:tabs>
          <w:tab w:val="num" w:pos="3600"/>
        </w:tabs>
        <w:ind w:left="3600" w:hanging="360"/>
      </w:pPr>
      <w:rPr>
        <w:rFonts w:ascii="Times New Roman" w:hAnsi="Times New Roman" w:hint="default"/>
      </w:rPr>
    </w:lvl>
    <w:lvl w:ilvl="5" w:tplc="8C62174A" w:tentative="1">
      <w:start w:val="1"/>
      <w:numFmt w:val="bullet"/>
      <w:lvlText w:val="•"/>
      <w:lvlJc w:val="left"/>
      <w:pPr>
        <w:tabs>
          <w:tab w:val="num" w:pos="4320"/>
        </w:tabs>
        <w:ind w:left="4320" w:hanging="360"/>
      </w:pPr>
      <w:rPr>
        <w:rFonts w:ascii="Times New Roman" w:hAnsi="Times New Roman" w:hint="default"/>
      </w:rPr>
    </w:lvl>
    <w:lvl w:ilvl="6" w:tplc="EC38B084" w:tentative="1">
      <w:start w:val="1"/>
      <w:numFmt w:val="bullet"/>
      <w:lvlText w:val="•"/>
      <w:lvlJc w:val="left"/>
      <w:pPr>
        <w:tabs>
          <w:tab w:val="num" w:pos="5040"/>
        </w:tabs>
        <w:ind w:left="5040" w:hanging="360"/>
      </w:pPr>
      <w:rPr>
        <w:rFonts w:ascii="Times New Roman" w:hAnsi="Times New Roman" w:hint="default"/>
      </w:rPr>
    </w:lvl>
    <w:lvl w:ilvl="7" w:tplc="4D74BEAE" w:tentative="1">
      <w:start w:val="1"/>
      <w:numFmt w:val="bullet"/>
      <w:lvlText w:val="•"/>
      <w:lvlJc w:val="left"/>
      <w:pPr>
        <w:tabs>
          <w:tab w:val="num" w:pos="5760"/>
        </w:tabs>
        <w:ind w:left="5760" w:hanging="360"/>
      </w:pPr>
      <w:rPr>
        <w:rFonts w:ascii="Times New Roman" w:hAnsi="Times New Roman" w:hint="default"/>
      </w:rPr>
    </w:lvl>
    <w:lvl w:ilvl="8" w:tplc="BF7460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AD53DE"/>
    <w:multiLevelType w:val="hybridMultilevel"/>
    <w:tmpl w:val="6CF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F14AC"/>
    <w:multiLevelType w:val="hybridMultilevel"/>
    <w:tmpl w:val="8132BD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C05092"/>
    <w:multiLevelType w:val="hybridMultilevel"/>
    <w:tmpl w:val="28F4883E"/>
    <w:lvl w:ilvl="0" w:tplc="6DCEFB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D4D4D"/>
    <w:multiLevelType w:val="hybridMultilevel"/>
    <w:tmpl w:val="82C65B98"/>
    <w:lvl w:ilvl="0" w:tplc="4F3E6638">
      <w:start w:val="1"/>
      <w:numFmt w:val="bullet"/>
      <w:lvlText w:val="•"/>
      <w:lvlJc w:val="left"/>
      <w:pPr>
        <w:tabs>
          <w:tab w:val="num" w:pos="720"/>
        </w:tabs>
        <w:ind w:left="720" w:hanging="360"/>
      </w:pPr>
      <w:rPr>
        <w:rFonts w:ascii="Times New Roman" w:hAnsi="Times New Roman" w:hint="default"/>
      </w:rPr>
    </w:lvl>
    <w:lvl w:ilvl="1" w:tplc="CCCAF756" w:tentative="1">
      <w:start w:val="1"/>
      <w:numFmt w:val="bullet"/>
      <w:lvlText w:val="•"/>
      <w:lvlJc w:val="left"/>
      <w:pPr>
        <w:tabs>
          <w:tab w:val="num" w:pos="1440"/>
        </w:tabs>
        <w:ind w:left="1440" w:hanging="360"/>
      </w:pPr>
      <w:rPr>
        <w:rFonts w:ascii="Times New Roman" w:hAnsi="Times New Roman" w:hint="default"/>
      </w:rPr>
    </w:lvl>
    <w:lvl w:ilvl="2" w:tplc="5AB2E974" w:tentative="1">
      <w:start w:val="1"/>
      <w:numFmt w:val="bullet"/>
      <w:lvlText w:val="•"/>
      <w:lvlJc w:val="left"/>
      <w:pPr>
        <w:tabs>
          <w:tab w:val="num" w:pos="2160"/>
        </w:tabs>
        <w:ind w:left="2160" w:hanging="360"/>
      </w:pPr>
      <w:rPr>
        <w:rFonts w:ascii="Times New Roman" w:hAnsi="Times New Roman" w:hint="default"/>
      </w:rPr>
    </w:lvl>
    <w:lvl w:ilvl="3" w:tplc="94CAA75E" w:tentative="1">
      <w:start w:val="1"/>
      <w:numFmt w:val="bullet"/>
      <w:lvlText w:val="•"/>
      <w:lvlJc w:val="left"/>
      <w:pPr>
        <w:tabs>
          <w:tab w:val="num" w:pos="2880"/>
        </w:tabs>
        <w:ind w:left="2880" w:hanging="360"/>
      </w:pPr>
      <w:rPr>
        <w:rFonts w:ascii="Times New Roman" w:hAnsi="Times New Roman" w:hint="default"/>
      </w:rPr>
    </w:lvl>
    <w:lvl w:ilvl="4" w:tplc="3C248DCA" w:tentative="1">
      <w:start w:val="1"/>
      <w:numFmt w:val="bullet"/>
      <w:lvlText w:val="•"/>
      <w:lvlJc w:val="left"/>
      <w:pPr>
        <w:tabs>
          <w:tab w:val="num" w:pos="3600"/>
        </w:tabs>
        <w:ind w:left="3600" w:hanging="360"/>
      </w:pPr>
      <w:rPr>
        <w:rFonts w:ascii="Times New Roman" w:hAnsi="Times New Roman" w:hint="default"/>
      </w:rPr>
    </w:lvl>
    <w:lvl w:ilvl="5" w:tplc="2AD23036" w:tentative="1">
      <w:start w:val="1"/>
      <w:numFmt w:val="bullet"/>
      <w:lvlText w:val="•"/>
      <w:lvlJc w:val="left"/>
      <w:pPr>
        <w:tabs>
          <w:tab w:val="num" w:pos="4320"/>
        </w:tabs>
        <w:ind w:left="4320" w:hanging="360"/>
      </w:pPr>
      <w:rPr>
        <w:rFonts w:ascii="Times New Roman" w:hAnsi="Times New Roman" w:hint="default"/>
      </w:rPr>
    </w:lvl>
    <w:lvl w:ilvl="6" w:tplc="02D893C4" w:tentative="1">
      <w:start w:val="1"/>
      <w:numFmt w:val="bullet"/>
      <w:lvlText w:val="•"/>
      <w:lvlJc w:val="left"/>
      <w:pPr>
        <w:tabs>
          <w:tab w:val="num" w:pos="5040"/>
        </w:tabs>
        <w:ind w:left="5040" w:hanging="360"/>
      </w:pPr>
      <w:rPr>
        <w:rFonts w:ascii="Times New Roman" w:hAnsi="Times New Roman" w:hint="default"/>
      </w:rPr>
    </w:lvl>
    <w:lvl w:ilvl="7" w:tplc="751AE9A2" w:tentative="1">
      <w:start w:val="1"/>
      <w:numFmt w:val="bullet"/>
      <w:lvlText w:val="•"/>
      <w:lvlJc w:val="left"/>
      <w:pPr>
        <w:tabs>
          <w:tab w:val="num" w:pos="5760"/>
        </w:tabs>
        <w:ind w:left="5760" w:hanging="360"/>
      </w:pPr>
      <w:rPr>
        <w:rFonts w:ascii="Times New Roman" w:hAnsi="Times New Roman" w:hint="default"/>
      </w:rPr>
    </w:lvl>
    <w:lvl w:ilvl="8" w:tplc="91E0A0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EA4113"/>
    <w:multiLevelType w:val="hybridMultilevel"/>
    <w:tmpl w:val="78083488"/>
    <w:lvl w:ilvl="0" w:tplc="94EEEF7E">
      <w:start w:val="1"/>
      <w:numFmt w:val="bullet"/>
      <w:lvlText w:val="•"/>
      <w:lvlJc w:val="left"/>
      <w:pPr>
        <w:tabs>
          <w:tab w:val="num" w:pos="720"/>
        </w:tabs>
        <w:ind w:left="720" w:hanging="360"/>
      </w:pPr>
      <w:rPr>
        <w:rFonts w:ascii="Times New Roman" w:hAnsi="Times New Roman" w:hint="default"/>
      </w:rPr>
    </w:lvl>
    <w:lvl w:ilvl="1" w:tplc="60E6B8C0" w:tentative="1">
      <w:start w:val="1"/>
      <w:numFmt w:val="bullet"/>
      <w:lvlText w:val="•"/>
      <w:lvlJc w:val="left"/>
      <w:pPr>
        <w:tabs>
          <w:tab w:val="num" w:pos="1440"/>
        </w:tabs>
        <w:ind w:left="1440" w:hanging="360"/>
      </w:pPr>
      <w:rPr>
        <w:rFonts w:ascii="Times New Roman" w:hAnsi="Times New Roman" w:hint="default"/>
      </w:rPr>
    </w:lvl>
    <w:lvl w:ilvl="2" w:tplc="0FE0813C" w:tentative="1">
      <w:start w:val="1"/>
      <w:numFmt w:val="bullet"/>
      <w:lvlText w:val="•"/>
      <w:lvlJc w:val="left"/>
      <w:pPr>
        <w:tabs>
          <w:tab w:val="num" w:pos="2160"/>
        </w:tabs>
        <w:ind w:left="2160" w:hanging="360"/>
      </w:pPr>
      <w:rPr>
        <w:rFonts w:ascii="Times New Roman" w:hAnsi="Times New Roman" w:hint="default"/>
      </w:rPr>
    </w:lvl>
    <w:lvl w:ilvl="3" w:tplc="634CB0E6" w:tentative="1">
      <w:start w:val="1"/>
      <w:numFmt w:val="bullet"/>
      <w:lvlText w:val="•"/>
      <w:lvlJc w:val="left"/>
      <w:pPr>
        <w:tabs>
          <w:tab w:val="num" w:pos="2880"/>
        </w:tabs>
        <w:ind w:left="2880" w:hanging="360"/>
      </w:pPr>
      <w:rPr>
        <w:rFonts w:ascii="Times New Roman" w:hAnsi="Times New Roman" w:hint="default"/>
      </w:rPr>
    </w:lvl>
    <w:lvl w:ilvl="4" w:tplc="0C36E52E" w:tentative="1">
      <w:start w:val="1"/>
      <w:numFmt w:val="bullet"/>
      <w:lvlText w:val="•"/>
      <w:lvlJc w:val="left"/>
      <w:pPr>
        <w:tabs>
          <w:tab w:val="num" w:pos="3600"/>
        </w:tabs>
        <w:ind w:left="3600" w:hanging="360"/>
      </w:pPr>
      <w:rPr>
        <w:rFonts w:ascii="Times New Roman" w:hAnsi="Times New Roman" w:hint="default"/>
      </w:rPr>
    </w:lvl>
    <w:lvl w:ilvl="5" w:tplc="9F7828E8" w:tentative="1">
      <w:start w:val="1"/>
      <w:numFmt w:val="bullet"/>
      <w:lvlText w:val="•"/>
      <w:lvlJc w:val="left"/>
      <w:pPr>
        <w:tabs>
          <w:tab w:val="num" w:pos="4320"/>
        </w:tabs>
        <w:ind w:left="4320" w:hanging="360"/>
      </w:pPr>
      <w:rPr>
        <w:rFonts w:ascii="Times New Roman" w:hAnsi="Times New Roman" w:hint="default"/>
      </w:rPr>
    </w:lvl>
    <w:lvl w:ilvl="6" w:tplc="B0E0F042" w:tentative="1">
      <w:start w:val="1"/>
      <w:numFmt w:val="bullet"/>
      <w:lvlText w:val="•"/>
      <w:lvlJc w:val="left"/>
      <w:pPr>
        <w:tabs>
          <w:tab w:val="num" w:pos="5040"/>
        </w:tabs>
        <w:ind w:left="5040" w:hanging="360"/>
      </w:pPr>
      <w:rPr>
        <w:rFonts w:ascii="Times New Roman" w:hAnsi="Times New Roman" w:hint="default"/>
      </w:rPr>
    </w:lvl>
    <w:lvl w:ilvl="7" w:tplc="C1EE5476" w:tentative="1">
      <w:start w:val="1"/>
      <w:numFmt w:val="bullet"/>
      <w:lvlText w:val="•"/>
      <w:lvlJc w:val="left"/>
      <w:pPr>
        <w:tabs>
          <w:tab w:val="num" w:pos="5760"/>
        </w:tabs>
        <w:ind w:left="5760" w:hanging="360"/>
      </w:pPr>
      <w:rPr>
        <w:rFonts w:ascii="Times New Roman" w:hAnsi="Times New Roman" w:hint="default"/>
      </w:rPr>
    </w:lvl>
    <w:lvl w:ilvl="8" w:tplc="924E38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50771F"/>
    <w:multiLevelType w:val="hybridMultilevel"/>
    <w:tmpl w:val="CB6A24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AA6170"/>
    <w:multiLevelType w:val="hybridMultilevel"/>
    <w:tmpl w:val="A49CA3F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9">
    <w:nsid w:val="4EAE3193"/>
    <w:multiLevelType w:val="hybridMultilevel"/>
    <w:tmpl w:val="C14AE5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0F1B90"/>
    <w:multiLevelType w:val="hybridMultilevel"/>
    <w:tmpl w:val="30385D2A"/>
    <w:lvl w:ilvl="0" w:tplc="9488A6C0">
      <w:start w:val="1"/>
      <w:numFmt w:val="bullet"/>
      <w:lvlText w:val="•"/>
      <w:lvlJc w:val="left"/>
      <w:pPr>
        <w:tabs>
          <w:tab w:val="num" w:pos="720"/>
        </w:tabs>
        <w:ind w:left="720" w:hanging="360"/>
      </w:pPr>
      <w:rPr>
        <w:rFonts w:ascii="Times New Roman" w:hAnsi="Times New Roman" w:hint="default"/>
      </w:rPr>
    </w:lvl>
    <w:lvl w:ilvl="1" w:tplc="AF2A593C" w:tentative="1">
      <w:start w:val="1"/>
      <w:numFmt w:val="bullet"/>
      <w:lvlText w:val="•"/>
      <w:lvlJc w:val="left"/>
      <w:pPr>
        <w:tabs>
          <w:tab w:val="num" w:pos="1440"/>
        </w:tabs>
        <w:ind w:left="1440" w:hanging="360"/>
      </w:pPr>
      <w:rPr>
        <w:rFonts w:ascii="Times New Roman" w:hAnsi="Times New Roman" w:hint="default"/>
      </w:rPr>
    </w:lvl>
    <w:lvl w:ilvl="2" w:tplc="DDC0C798" w:tentative="1">
      <w:start w:val="1"/>
      <w:numFmt w:val="bullet"/>
      <w:lvlText w:val="•"/>
      <w:lvlJc w:val="left"/>
      <w:pPr>
        <w:tabs>
          <w:tab w:val="num" w:pos="2160"/>
        </w:tabs>
        <w:ind w:left="2160" w:hanging="360"/>
      </w:pPr>
      <w:rPr>
        <w:rFonts w:ascii="Times New Roman" w:hAnsi="Times New Roman" w:hint="default"/>
      </w:rPr>
    </w:lvl>
    <w:lvl w:ilvl="3" w:tplc="9F82D3DE" w:tentative="1">
      <w:start w:val="1"/>
      <w:numFmt w:val="bullet"/>
      <w:lvlText w:val="•"/>
      <w:lvlJc w:val="left"/>
      <w:pPr>
        <w:tabs>
          <w:tab w:val="num" w:pos="2880"/>
        </w:tabs>
        <w:ind w:left="2880" w:hanging="360"/>
      </w:pPr>
      <w:rPr>
        <w:rFonts w:ascii="Times New Roman" w:hAnsi="Times New Roman" w:hint="default"/>
      </w:rPr>
    </w:lvl>
    <w:lvl w:ilvl="4" w:tplc="89C49018" w:tentative="1">
      <w:start w:val="1"/>
      <w:numFmt w:val="bullet"/>
      <w:lvlText w:val="•"/>
      <w:lvlJc w:val="left"/>
      <w:pPr>
        <w:tabs>
          <w:tab w:val="num" w:pos="3600"/>
        </w:tabs>
        <w:ind w:left="3600" w:hanging="360"/>
      </w:pPr>
      <w:rPr>
        <w:rFonts w:ascii="Times New Roman" w:hAnsi="Times New Roman" w:hint="default"/>
      </w:rPr>
    </w:lvl>
    <w:lvl w:ilvl="5" w:tplc="7ECCF5D8" w:tentative="1">
      <w:start w:val="1"/>
      <w:numFmt w:val="bullet"/>
      <w:lvlText w:val="•"/>
      <w:lvlJc w:val="left"/>
      <w:pPr>
        <w:tabs>
          <w:tab w:val="num" w:pos="4320"/>
        </w:tabs>
        <w:ind w:left="4320" w:hanging="360"/>
      </w:pPr>
      <w:rPr>
        <w:rFonts w:ascii="Times New Roman" w:hAnsi="Times New Roman" w:hint="default"/>
      </w:rPr>
    </w:lvl>
    <w:lvl w:ilvl="6" w:tplc="298EB59C" w:tentative="1">
      <w:start w:val="1"/>
      <w:numFmt w:val="bullet"/>
      <w:lvlText w:val="•"/>
      <w:lvlJc w:val="left"/>
      <w:pPr>
        <w:tabs>
          <w:tab w:val="num" w:pos="5040"/>
        </w:tabs>
        <w:ind w:left="5040" w:hanging="360"/>
      </w:pPr>
      <w:rPr>
        <w:rFonts w:ascii="Times New Roman" w:hAnsi="Times New Roman" w:hint="default"/>
      </w:rPr>
    </w:lvl>
    <w:lvl w:ilvl="7" w:tplc="B366FFEC" w:tentative="1">
      <w:start w:val="1"/>
      <w:numFmt w:val="bullet"/>
      <w:lvlText w:val="•"/>
      <w:lvlJc w:val="left"/>
      <w:pPr>
        <w:tabs>
          <w:tab w:val="num" w:pos="5760"/>
        </w:tabs>
        <w:ind w:left="5760" w:hanging="360"/>
      </w:pPr>
      <w:rPr>
        <w:rFonts w:ascii="Times New Roman" w:hAnsi="Times New Roman" w:hint="default"/>
      </w:rPr>
    </w:lvl>
    <w:lvl w:ilvl="8" w:tplc="BF0A9A1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756CEB"/>
    <w:multiLevelType w:val="hybridMultilevel"/>
    <w:tmpl w:val="A044E03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2">
    <w:nsid w:val="55864EAB"/>
    <w:multiLevelType w:val="hybridMultilevel"/>
    <w:tmpl w:val="979262D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nsid w:val="5A6E7FA6"/>
    <w:multiLevelType w:val="hybridMultilevel"/>
    <w:tmpl w:val="D37E13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4">
    <w:nsid w:val="638C3DD6"/>
    <w:multiLevelType w:val="hybridMultilevel"/>
    <w:tmpl w:val="092053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48750B4"/>
    <w:multiLevelType w:val="hybridMultilevel"/>
    <w:tmpl w:val="63CADA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5"/>
  </w:num>
  <w:num w:numId="3">
    <w:abstractNumId w:val="0"/>
  </w:num>
  <w:num w:numId="4">
    <w:abstractNumId w:val="6"/>
  </w:num>
  <w:num w:numId="5">
    <w:abstractNumId w:val="2"/>
  </w:num>
  <w:num w:numId="6">
    <w:abstractNumId w:val="9"/>
  </w:num>
  <w:num w:numId="7">
    <w:abstractNumId w:val="1"/>
  </w:num>
  <w:num w:numId="8">
    <w:abstractNumId w:val="8"/>
  </w:num>
  <w:num w:numId="9">
    <w:abstractNumId w:val="12"/>
  </w:num>
  <w:num w:numId="10">
    <w:abstractNumId w:val="11"/>
  </w:num>
  <w:num w:numId="11">
    <w:abstractNumId w:val="13"/>
  </w:num>
  <w:num w:numId="12">
    <w:abstractNumId w:val="15"/>
  </w:num>
  <w:num w:numId="13">
    <w:abstractNumId w:val="7"/>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18BD"/>
    <w:rsid w:val="00002DE6"/>
    <w:rsid w:val="00012D34"/>
    <w:rsid w:val="00070213"/>
    <w:rsid w:val="00086518"/>
    <w:rsid w:val="00094008"/>
    <w:rsid w:val="000B39A6"/>
    <w:rsid w:val="000C5A11"/>
    <w:rsid w:val="000C7254"/>
    <w:rsid w:val="000F2EBA"/>
    <w:rsid w:val="000F35A4"/>
    <w:rsid w:val="00110E3F"/>
    <w:rsid w:val="001408E3"/>
    <w:rsid w:val="00150BB0"/>
    <w:rsid w:val="001B2107"/>
    <w:rsid w:val="001B7426"/>
    <w:rsid w:val="001C1CC9"/>
    <w:rsid w:val="001D4396"/>
    <w:rsid w:val="00206257"/>
    <w:rsid w:val="00207DBB"/>
    <w:rsid w:val="0021321C"/>
    <w:rsid w:val="00225811"/>
    <w:rsid w:val="002652DE"/>
    <w:rsid w:val="002857EA"/>
    <w:rsid w:val="00293649"/>
    <w:rsid w:val="002C0B10"/>
    <w:rsid w:val="002F5304"/>
    <w:rsid w:val="002F6CF7"/>
    <w:rsid w:val="00310595"/>
    <w:rsid w:val="003120DD"/>
    <w:rsid w:val="003200CF"/>
    <w:rsid w:val="003273B8"/>
    <w:rsid w:val="00397137"/>
    <w:rsid w:val="003A1090"/>
    <w:rsid w:val="003A13E2"/>
    <w:rsid w:val="003A5456"/>
    <w:rsid w:val="00411886"/>
    <w:rsid w:val="004B6FD1"/>
    <w:rsid w:val="005430E9"/>
    <w:rsid w:val="00580592"/>
    <w:rsid w:val="005A1820"/>
    <w:rsid w:val="005C39C5"/>
    <w:rsid w:val="005E68FB"/>
    <w:rsid w:val="005F5693"/>
    <w:rsid w:val="00600CE1"/>
    <w:rsid w:val="00601B91"/>
    <w:rsid w:val="00640CAB"/>
    <w:rsid w:val="00666226"/>
    <w:rsid w:val="0068141A"/>
    <w:rsid w:val="00694701"/>
    <w:rsid w:val="006C1FBC"/>
    <w:rsid w:val="006C68C2"/>
    <w:rsid w:val="006D1665"/>
    <w:rsid w:val="006E1C7F"/>
    <w:rsid w:val="006E229D"/>
    <w:rsid w:val="006E3AE0"/>
    <w:rsid w:val="007403CA"/>
    <w:rsid w:val="00743657"/>
    <w:rsid w:val="007715E5"/>
    <w:rsid w:val="007D36DA"/>
    <w:rsid w:val="007D5366"/>
    <w:rsid w:val="008108EB"/>
    <w:rsid w:val="008441A6"/>
    <w:rsid w:val="0085016B"/>
    <w:rsid w:val="008518BD"/>
    <w:rsid w:val="00866F52"/>
    <w:rsid w:val="008851D2"/>
    <w:rsid w:val="008C4950"/>
    <w:rsid w:val="008E1882"/>
    <w:rsid w:val="008E2373"/>
    <w:rsid w:val="0090322B"/>
    <w:rsid w:val="00904E32"/>
    <w:rsid w:val="00914AAE"/>
    <w:rsid w:val="00940AF0"/>
    <w:rsid w:val="00941152"/>
    <w:rsid w:val="0096113D"/>
    <w:rsid w:val="00983E16"/>
    <w:rsid w:val="00996EFA"/>
    <w:rsid w:val="00996F7B"/>
    <w:rsid w:val="009A1220"/>
    <w:rsid w:val="009A57D5"/>
    <w:rsid w:val="009D1A14"/>
    <w:rsid w:val="009D66AE"/>
    <w:rsid w:val="00A013FB"/>
    <w:rsid w:val="00A15B3B"/>
    <w:rsid w:val="00A233EA"/>
    <w:rsid w:val="00A23D5D"/>
    <w:rsid w:val="00A35F6E"/>
    <w:rsid w:val="00A62650"/>
    <w:rsid w:val="00A77CD2"/>
    <w:rsid w:val="00A84858"/>
    <w:rsid w:val="00A84AC3"/>
    <w:rsid w:val="00A97B55"/>
    <w:rsid w:val="00AA664F"/>
    <w:rsid w:val="00AA7D84"/>
    <w:rsid w:val="00AD6F39"/>
    <w:rsid w:val="00B040D4"/>
    <w:rsid w:val="00B13A4A"/>
    <w:rsid w:val="00B306EA"/>
    <w:rsid w:val="00B52B88"/>
    <w:rsid w:val="00B96A1E"/>
    <w:rsid w:val="00BB22A8"/>
    <w:rsid w:val="00BC7D57"/>
    <w:rsid w:val="00C103F6"/>
    <w:rsid w:val="00C518F7"/>
    <w:rsid w:val="00CB0FC1"/>
    <w:rsid w:val="00CD5592"/>
    <w:rsid w:val="00D673CB"/>
    <w:rsid w:val="00D924D3"/>
    <w:rsid w:val="00E171E1"/>
    <w:rsid w:val="00E668B3"/>
    <w:rsid w:val="00E908F5"/>
    <w:rsid w:val="00EC0865"/>
    <w:rsid w:val="00F00979"/>
    <w:rsid w:val="00F03653"/>
    <w:rsid w:val="00F321BD"/>
    <w:rsid w:val="00F529FB"/>
    <w:rsid w:val="00FA0DCD"/>
    <w:rsid w:val="00FB7413"/>
    <w:rsid w:val="00FC7AEE"/>
    <w:rsid w:val="00F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FB"/>
    <w:rPr>
      <w:rFonts w:ascii="Arial" w:hAnsi="Arial"/>
      <w:sz w:val="24"/>
      <w:szCs w:val="24"/>
    </w:rPr>
  </w:style>
  <w:style w:type="paragraph" w:styleId="Heading1">
    <w:name w:val="heading 1"/>
    <w:basedOn w:val="Normal"/>
    <w:next w:val="Normal"/>
    <w:link w:val="Heading1Char"/>
    <w:uiPriority w:val="9"/>
    <w:qFormat/>
    <w:rsid w:val="0068141A"/>
    <w:pPr>
      <w:keepNext/>
      <w:pBdr>
        <w:bottom w:val="single" w:sz="4" w:space="1" w:color="FFFFFF"/>
      </w:pBdr>
      <w:spacing w:before="360" w:after="180"/>
      <w:outlineLvl w:val="0"/>
    </w:pPr>
    <w:rPr>
      <w:bCs/>
      <w:color w:val="4F81BD"/>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FB"/>
    <w:pPr>
      <w:tabs>
        <w:tab w:val="center" w:pos="4153"/>
        <w:tab w:val="right" w:pos="8306"/>
      </w:tabs>
    </w:pPr>
  </w:style>
  <w:style w:type="paragraph" w:styleId="Footer">
    <w:name w:val="footer"/>
    <w:basedOn w:val="Normal"/>
    <w:rsid w:val="00A013FB"/>
    <w:pPr>
      <w:tabs>
        <w:tab w:val="center" w:pos="4153"/>
        <w:tab w:val="right" w:pos="8306"/>
      </w:tabs>
    </w:pPr>
  </w:style>
  <w:style w:type="paragraph" w:styleId="NoSpacing">
    <w:name w:val="No Spacing"/>
    <w:link w:val="NoSpacingChar"/>
    <w:uiPriority w:val="1"/>
    <w:qFormat/>
    <w:rsid w:val="00666226"/>
    <w:rPr>
      <w:rFonts w:ascii="Calibri" w:eastAsia="MS Mincho" w:hAnsi="Calibri" w:cs="Arial"/>
      <w:sz w:val="22"/>
      <w:szCs w:val="22"/>
      <w:lang w:val="en-US" w:eastAsia="ja-JP"/>
    </w:rPr>
  </w:style>
  <w:style w:type="character" w:customStyle="1" w:styleId="NoSpacingChar">
    <w:name w:val="No Spacing Char"/>
    <w:link w:val="NoSpacing"/>
    <w:uiPriority w:val="1"/>
    <w:rsid w:val="00666226"/>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666226"/>
    <w:rPr>
      <w:rFonts w:ascii="Tahoma" w:hAnsi="Tahoma" w:cs="Tahoma"/>
      <w:sz w:val="16"/>
      <w:szCs w:val="16"/>
    </w:rPr>
  </w:style>
  <w:style w:type="character" w:customStyle="1" w:styleId="BalloonTextChar">
    <w:name w:val="Balloon Text Char"/>
    <w:link w:val="BalloonText"/>
    <w:uiPriority w:val="99"/>
    <w:semiHidden/>
    <w:rsid w:val="00666226"/>
    <w:rPr>
      <w:rFonts w:ascii="Tahoma" w:hAnsi="Tahoma" w:cs="Tahoma"/>
      <w:sz w:val="16"/>
      <w:szCs w:val="16"/>
    </w:rPr>
  </w:style>
  <w:style w:type="character" w:styleId="Hyperlink">
    <w:name w:val="Hyperlink"/>
    <w:uiPriority w:val="99"/>
    <w:rsid w:val="003120DD"/>
    <w:rPr>
      <w:color w:val="0000FF"/>
      <w:u w:val="single"/>
    </w:rPr>
  </w:style>
  <w:style w:type="character" w:customStyle="1" w:styleId="Heading1Char">
    <w:name w:val="Heading 1 Char"/>
    <w:link w:val="Heading1"/>
    <w:uiPriority w:val="9"/>
    <w:rsid w:val="0068141A"/>
    <w:rPr>
      <w:rFonts w:ascii="Arial" w:hAnsi="Arial"/>
      <w:bCs/>
      <w:color w:val="4F81BD"/>
      <w:kern w:val="32"/>
      <w:sz w:val="32"/>
      <w:szCs w:val="32"/>
    </w:rPr>
  </w:style>
  <w:style w:type="paragraph" w:styleId="ListParagraph">
    <w:name w:val="List Paragraph"/>
    <w:basedOn w:val="Normal"/>
    <w:uiPriority w:val="34"/>
    <w:qFormat/>
    <w:rsid w:val="00411886"/>
    <w:pPr>
      <w:ind w:left="720"/>
    </w:pPr>
    <w:rPr>
      <w:sz w:val="22"/>
      <w:szCs w:val="22"/>
    </w:rPr>
  </w:style>
  <w:style w:type="table" w:styleId="TableGrid">
    <w:name w:val="Table Grid"/>
    <w:basedOn w:val="TableNormal"/>
    <w:uiPriority w:val="59"/>
    <w:rsid w:val="003A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23D5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4400">
      <w:bodyDiv w:val="1"/>
      <w:marLeft w:val="0"/>
      <w:marRight w:val="0"/>
      <w:marTop w:val="0"/>
      <w:marBottom w:val="0"/>
      <w:divBdr>
        <w:top w:val="none" w:sz="0" w:space="0" w:color="auto"/>
        <w:left w:val="none" w:sz="0" w:space="0" w:color="auto"/>
        <w:bottom w:val="none" w:sz="0" w:space="0" w:color="auto"/>
        <w:right w:val="none" w:sz="0" w:space="0" w:color="auto"/>
      </w:divBdr>
      <w:divsChild>
        <w:div w:id="59450813">
          <w:marLeft w:val="547"/>
          <w:marRight w:val="0"/>
          <w:marTop w:val="0"/>
          <w:marBottom w:val="0"/>
          <w:divBdr>
            <w:top w:val="none" w:sz="0" w:space="0" w:color="auto"/>
            <w:left w:val="none" w:sz="0" w:space="0" w:color="auto"/>
            <w:bottom w:val="none" w:sz="0" w:space="0" w:color="auto"/>
            <w:right w:val="none" w:sz="0" w:space="0" w:color="auto"/>
          </w:divBdr>
        </w:div>
        <w:div w:id="586572144">
          <w:marLeft w:val="547"/>
          <w:marRight w:val="0"/>
          <w:marTop w:val="0"/>
          <w:marBottom w:val="0"/>
          <w:divBdr>
            <w:top w:val="none" w:sz="0" w:space="0" w:color="auto"/>
            <w:left w:val="none" w:sz="0" w:space="0" w:color="auto"/>
            <w:bottom w:val="none" w:sz="0" w:space="0" w:color="auto"/>
            <w:right w:val="none" w:sz="0" w:space="0" w:color="auto"/>
          </w:divBdr>
        </w:div>
        <w:div w:id="1904218881">
          <w:marLeft w:val="547"/>
          <w:marRight w:val="0"/>
          <w:marTop w:val="0"/>
          <w:marBottom w:val="0"/>
          <w:divBdr>
            <w:top w:val="none" w:sz="0" w:space="0" w:color="auto"/>
            <w:left w:val="none" w:sz="0" w:space="0" w:color="auto"/>
            <w:bottom w:val="none" w:sz="0" w:space="0" w:color="auto"/>
            <w:right w:val="none" w:sz="0" w:space="0" w:color="auto"/>
          </w:divBdr>
        </w:div>
      </w:divsChild>
    </w:div>
    <w:div w:id="697662635">
      <w:bodyDiv w:val="1"/>
      <w:marLeft w:val="0"/>
      <w:marRight w:val="0"/>
      <w:marTop w:val="0"/>
      <w:marBottom w:val="0"/>
      <w:divBdr>
        <w:top w:val="none" w:sz="0" w:space="0" w:color="auto"/>
        <w:left w:val="none" w:sz="0" w:space="0" w:color="auto"/>
        <w:bottom w:val="none" w:sz="0" w:space="0" w:color="auto"/>
        <w:right w:val="none" w:sz="0" w:space="0" w:color="auto"/>
      </w:divBdr>
      <w:divsChild>
        <w:div w:id="1550150001">
          <w:marLeft w:val="547"/>
          <w:marRight w:val="0"/>
          <w:marTop w:val="0"/>
          <w:marBottom w:val="0"/>
          <w:divBdr>
            <w:top w:val="none" w:sz="0" w:space="0" w:color="auto"/>
            <w:left w:val="none" w:sz="0" w:space="0" w:color="auto"/>
            <w:bottom w:val="none" w:sz="0" w:space="0" w:color="auto"/>
            <w:right w:val="none" w:sz="0" w:space="0" w:color="auto"/>
          </w:divBdr>
        </w:div>
      </w:divsChild>
    </w:div>
    <w:div w:id="844251936">
      <w:bodyDiv w:val="1"/>
      <w:marLeft w:val="0"/>
      <w:marRight w:val="0"/>
      <w:marTop w:val="0"/>
      <w:marBottom w:val="0"/>
      <w:divBdr>
        <w:top w:val="none" w:sz="0" w:space="0" w:color="auto"/>
        <w:left w:val="none" w:sz="0" w:space="0" w:color="auto"/>
        <w:bottom w:val="none" w:sz="0" w:space="0" w:color="auto"/>
        <w:right w:val="none" w:sz="0" w:space="0" w:color="auto"/>
      </w:divBdr>
    </w:div>
    <w:div w:id="871310139">
      <w:bodyDiv w:val="1"/>
      <w:marLeft w:val="0"/>
      <w:marRight w:val="0"/>
      <w:marTop w:val="0"/>
      <w:marBottom w:val="0"/>
      <w:divBdr>
        <w:top w:val="none" w:sz="0" w:space="0" w:color="auto"/>
        <w:left w:val="none" w:sz="0" w:space="0" w:color="auto"/>
        <w:bottom w:val="none" w:sz="0" w:space="0" w:color="auto"/>
        <w:right w:val="none" w:sz="0" w:space="0" w:color="auto"/>
      </w:divBdr>
    </w:div>
    <w:div w:id="1093937993">
      <w:bodyDiv w:val="1"/>
      <w:marLeft w:val="0"/>
      <w:marRight w:val="0"/>
      <w:marTop w:val="0"/>
      <w:marBottom w:val="0"/>
      <w:divBdr>
        <w:top w:val="none" w:sz="0" w:space="0" w:color="auto"/>
        <w:left w:val="none" w:sz="0" w:space="0" w:color="auto"/>
        <w:bottom w:val="none" w:sz="0" w:space="0" w:color="auto"/>
        <w:right w:val="none" w:sz="0" w:space="0" w:color="auto"/>
      </w:divBdr>
    </w:div>
    <w:div w:id="1114010381">
      <w:bodyDiv w:val="1"/>
      <w:marLeft w:val="0"/>
      <w:marRight w:val="0"/>
      <w:marTop w:val="0"/>
      <w:marBottom w:val="0"/>
      <w:divBdr>
        <w:top w:val="none" w:sz="0" w:space="0" w:color="auto"/>
        <w:left w:val="none" w:sz="0" w:space="0" w:color="auto"/>
        <w:bottom w:val="none" w:sz="0" w:space="0" w:color="auto"/>
        <w:right w:val="none" w:sz="0" w:space="0" w:color="auto"/>
      </w:divBdr>
      <w:divsChild>
        <w:div w:id="2145613417">
          <w:marLeft w:val="547"/>
          <w:marRight w:val="0"/>
          <w:marTop w:val="0"/>
          <w:marBottom w:val="0"/>
          <w:divBdr>
            <w:top w:val="none" w:sz="0" w:space="0" w:color="auto"/>
            <w:left w:val="none" w:sz="0" w:space="0" w:color="auto"/>
            <w:bottom w:val="none" w:sz="0" w:space="0" w:color="auto"/>
            <w:right w:val="none" w:sz="0" w:space="0" w:color="auto"/>
          </w:divBdr>
        </w:div>
      </w:divsChild>
    </w:div>
    <w:div w:id="1372730935">
      <w:bodyDiv w:val="1"/>
      <w:marLeft w:val="0"/>
      <w:marRight w:val="0"/>
      <w:marTop w:val="0"/>
      <w:marBottom w:val="0"/>
      <w:divBdr>
        <w:top w:val="none" w:sz="0" w:space="0" w:color="auto"/>
        <w:left w:val="none" w:sz="0" w:space="0" w:color="auto"/>
        <w:bottom w:val="none" w:sz="0" w:space="0" w:color="auto"/>
        <w:right w:val="none" w:sz="0" w:space="0" w:color="auto"/>
      </w:divBdr>
      <w:divsChild>
        <w:div w:id="1008480398">
          <w:marLeft w:val="547"/>
          <w:marRight w:val="0"/>
          <w:marTop w:val="0"/>
          <w:marBottom w:val="0"/>
          <w:divBdr>
            <w:top w:val="none" w:sz="0" w:space="0" w:color="auto"/>
            <w:left w:val="none" w:sz="0" w:space="0" w:color="auto"/>
            <w:bottom w:val="none" w:sz="0" w:space="0" w:color="auto"/>
            <w:right w:val="none" w:sz="0" w:space="0" w:color="auto"/>
          </w:divBdr>
        </w:div>
      </w:divsChild>
    </w:div>
    <w:div w:id="1791167944">
      <w:bodyDiv w:val="1"/>
      <w:marLeft w:val="0"/>
      <w:marRight w:val="0"/>
      <w:marTop w:val="0"/>
      <w:marBottom w:val="0"/>
      <w:divBdr>
        <w:top w:val="none" w:sz="0" w:space="0" w:color="auto"/>
        <w:left w:val="none" w:sz="0" w:space="0" w:color="auto"/>
        <w:bottom w:val="none" w:sz="0" w:space="0" w:color="auto"/>
        <w:right w:val="none" w:sz="0" w:space="0" w:color="auto"/>
      </w:divBdr>
    </w:div>
    <w:div w:id="18603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lwoodhousin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elwoodhous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omesearchbathnes.org.uk" TargetMode="External"/><Relationship Id="rId4" Type="http://schemas.microsoft.com/office/2007/relationships/stylesWithEffects" Target="stylesWithEffects.xml"/><Relationship Id="rId9" Type="http://schemas.openxmlformats.org/officeDocument/2006/relationships/hyperlink" Target="mailto:Homesearch@Bathnes.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758</Words>
  <Characters>4257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Enter site name</vt:lpstr>
    </vt:vector>
  </TitlesOfParts>
  <Company>Housing Services Local Letting Plan</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site name</dc:title>
  <dc:subject>A local letting policy is an agreement between the local authority and a registered provider.  It decides how properties will be allocated in certain defined geographical areas.  Local lettings policies will only be used in exceptional circumstances, to meet specific local issues within an area.</dc:subject>
  <dc:creator>For [enter site name]</dc:creator>
  <cp:lastModifiedBy>Laurence Lindsay</cp:lastModifiedBy>
  <cp:revision>7</cp:revision>
  <cp:lastPrinted>2015-03-09T15:06:00Z</cp:lastPrinted>
  <dcterms:created xsi:type="dcterms:W3CDTF">2017-12-29T15:30:00Z</dcterms:created>
  <dcterms:modified xsi:type="dcterms:W3CDTF">2017-12-29T15:49:00Z</dcterms:modified>
</cp:coreProperties>
</file>